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lang w:eastAsia="en-US"/>
        </w:rPr>
        <w:id w:val="-1881467845"/>
        <w:docPartObj>
          <w:docPartGallery w:val="Cover Pages"/>
          <w:docPartUnique/>
        </w:docPartObj>
      </w:sdtPr>
      <w:sdtEndPr>
        <w:rPr>
          <w:cap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5E658A" w14:paraId="2EA1D85A" w14:textId="77777777">
            <w:sdt>
              <w:sdtPr>
                <w:rPr>
                  <w:rFonts w:asciiTheme="majorHAnsi" w:eastAsiaTheme="majorEastAsia" w:hAnsiTheme="majorHAnsi" w:cstheme="majorBidi"/>
                  <w:lang w:eastAsia="en-US"/>
                </w:rPr>
                <w:alias w:val="Company"/>
                <w:id w:val="13406915"/>
                <w:dataBinding w:prefixMappings="xmlns:ns0='http://schemas.openxmlformats.org/officeDocument/2006/extended-properties'" w:xpath="/ns0:Properties[1]/ns0:Company[1]" w:storeItemID="{6668398D-A668-4E3E-A5EB-62B293D839F1}"/>
                <w:text/>
              </w:sdtPr>
              <w:sdtEndPr>
                <w:rPr>
                  <w:lang w:eastAsia="ja-JP"/>
                </w:rPr>
              </w:sdtEndPr>
              <w:sdtContent>
                <w:tc>
                  <w:tcPr>
                    <w:tcW w:w="7672" w:type="dxa"/>
                    <w:tcMar>
                      <w:top w:w="216" w:type="dxa"/>
                      <w:left w:w="115" w:type="dxa"/>
                      <w:bottom w:w="216" w:type="dxa"/>
                      <w:right w:w="115" w:type="dxa"/>
                    </w:tcMar>
                  </w:tcPr>
                  <w:p w14:paraId="5BC84F94" w14:textId="77777777" w:rsidR="005E658A" w:rsidRDefault="005E658A">
                    <w:pPr>
                      <w:pStyle w:val="NoSpacing"/>
                      <w:rPr>
                        <w:rFonts w:asciiTheme="majorHAnsi" w:eastAsiaTheme="majorEastAsia" w:hAnsiTheme="majorHAnsi" w:cstheme="majorBidi"/>
                      </w:rPr>
                    </w:pPr>
                    <w:r>
                      <w:rPr>
                        <w:rFonts w:asciiTheme="majorHAnsi" w:eastAsiaTheme="majorEastAsia" w:hAnsiTheme="majorHAnsi" w:cstheme="majorBidi"/>
                      </w:rPr>
                      <w:t>The District of Nipissing Social Services Administration Board</w:t>
                    </w:r>
                  </w:p>
                </w:tc>
              </w:sdtContent>
            </w:sdt>
          </w:tr>
          <w:tr w:rsidR="005E658A" w14:paraId="1D6BB62B" w14:textId="77777777">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11F5CAA4" w14:textId="18C174EE" w:rsidR="005E658A" w:rsidRDefault="005A58F6" w:rsidP="00590DEA">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CORP-202</w:t>
                    </w:r>
                    <w:r w:rsidR="00166F49">
                      <w:rPr>
                        <w:rFonts w:asciiTheme="majorHAnsi" w:eastAsiaTheme="majorEastAsia" w:hAnsiTheme="majorHAnsi" w:cstheme="majorBidi"/>
                        <w:color w:val="4F81BD" w:themeColor="accent1"/>
                        <w:sz w:val="80"/>
                        <w:szCs w:val="80"/>
                      </w:rPr>
                      <w:t>4</w:t>
                    </w:r>
                    <w:r>
                      <w:rPr>
                        <w:rFonts w:asciiTheme="majorHAnsi" w:eastAsiaTheme="majorEastAsia" w:hAnsiTheme="majorHAnsi" w:cstheme="majorBidi"/>
                        <w:color w:val="4F81BD" w:themeColor="accent1"/>
                        <w:sz w:val="80"/>
                        <w:szCs w:val="80"/>
                      </w:rPr>
                      <w:t>-0</w:t>
                    </w:r>
                    <w:r w:rsidR="00166F49">
                      <w:rPr>
                        <w:rFonts w:asciiTheme="majorHAnsi" w:eastAsiaTheme="majorEastAsia" w:hAnsiTheme="majorHAnsi" w:cstheme="majorBidi"/>
                        <w:color w:val="4F81BD" w:themeColor="accent1"/>
                        <w:sz w:val="80"/>
                        <w:szCs w:val="80"/>
                      </w:rPr>
                      <w:t>0</w:t>
                    </w:r>
                    <w:r w:rsidR="00EF143A">
                      <w:rPr>
                        <w:rFonts w:asciiTheme="majorHAnsi" w:eastAsiaTheme="majorEastAsia" w:hAnsiTheme="majorHAnsi" w:cstheme="majorBidi"/>
                        <w:color w:val="4F81BD" w:themeColor="accent1"/>
                        <w:sz w:val="80"/>
                        <w:szCs w:val="80"/>
                      </w:rPr>
                      <w:t>1</w:t>
                    </w:r>
                    <w:r w:rsidR="00BF003B" w:rsidRPr="004C3443">
                      <w:rPr>
                        <w:rFonts w:asciiTheme="majorHAnsi" w:eastAsiaTheme="majorEastAsia" w:hAnsiTheme="majorHAnsi" w:cstheme="majorBidi"/>
                        <w:color w:val="4F81BD" w:themeColor="accent1"/>
                        <w:sz w:val="80"/>
                        <w:szCs w:val="80"/>
                      </w:rPr>
                      <w:t xml:space="preserve"> 202</w:t>
                    </w:r>
                    <w:r>
                      <w:rPr>
                        <w:rFonts w:asciiTheme="majorHAnsi" w:eastAsiaTheme="majorEastAsia" w:hAnsiTheme="majorHAnsi" w:cstheme="majorBidi"/>
                        <w:color w:val="4F81BD" w:themeColor="accent1"/>
                        <w:sz w:val="80"/>
                        <w:szCs w:val="80"/>
                      </w:rPr>
                      <w:t>4</w:t>
                    </w:r>
                    <w:r w:rsidR="00BF003B" w:rsidRPr="004C3443">
                      <w:rPr>
                        <w:rFonts w:asciiTheme="majorHAnsi" w:eastAsiaTheme="majorEastAsia" w:hAnsiTheme="majorHAnsi" w:cstheme="majorBidi"/>
                        <w:color w:val="4F81BD" w:themeColor="accent1"/>
                        <w:sz w:val="80"/>
                        <w:szCs w:val="80"/>
                      </w:rPr>
                      <w:t xml:space="preserve"> </w:t>
                    </w:r>
                    <w:r w:rsidR="00166F49">
                      <w:rPr>
                        <w:rFonts w:asciiTheme="majorHAnsi" w:eastAsiaTheme="majorEastAsia" w:hAnsiTheme="majorHAnsi" w:cstheme="majorBidi"/>
                        <w:color w:val="4F81BD" w:themeColor="accent1"/>
                        <w:sz w:val="80"/>
                        <w:szCs w:val="80"/>
                      </w:rPr>
                      <w:t xml:space="preserve">DNSSAB </w:t>
                    </w:r>
                    <w:r w:rsidR="00BF003B" w:rsidRPr="004C3443">
                      <w:rPr>
                        <w:rFonts w:asciiTheme="majorHAnsi" w:eastAsiaTheme="majorEastAsia" w:hAnsiTheme="majorHAnsi" w:cstheme="majorBidi"/>
                        <w:color w:val="4F81BD" w:themeColor="accent1"/>
                        <w:sz w:val="80"/>
                        <w:szCs w:val="80"/>
                      </w:rPr>
                      <w:t>Budget</w:t>
                    </w:r>
                  </w:p>
                </w:sdtContent>
              </w:sdt>
            </w:tc>
          </w:tr>
          <w:tr w:rsidR="005E658A" w14:paraId="34C001BC" w14:textId="77777777">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48385920" w14:textId="5DBE0AF8" w:rsidR="005E658A" w:rsidRDefault="00166F49" w:rsidP="00772884">
                    <w:pPr>
                      <w:pStyle w:val="NoSpacing"/>
                      <w:rPr>
                        <w:rFonts w:asciiTheme="majorHAnsi" w:eastAsiaTheme="majorEastAsia" w:hAnsiTheme="majorHAnsi" w:cstheme="majorBidi"/>
                      </w:rPr>
                    </w:pPr>
                    <w:r>
                      <w:rPr>
                        <w:rFonts w:asciiTheme="majorHAnsi" w:eastAsiaTheme="majorEastAsia" w:hAnsiTheme="majorHAnsi" w:cstheme="majorBidi"/>
                      </w:rPr>
                      <w:t>January 31st</w:t>
                    </w:r>
                    <w:r w:rsidR="00337D18">
                      <w:rPr>
                        <w:rFonts w:asciiTheme="majorHAnsi" w:eastAsiaTheme="majorEastAsia" w:hAnsiTheme="majorHAnsi" w:cstheme="majorBidi"/>
                      </w:rPr>
                      <w:t xml:space="preserve">, </w:t>
                    </w:r>
                    <w:proofErr w:type="gramStart"/>
                    <w:r w:rsidR="00337D18">
                      <w:rPr>
                        <w:rFonts w:asciiTheme="majorHAnsi" w:eastAsiaTheme="majorEastAsia" w:hAnsiTheme="majorHAnsi" w:cstheme="majorBidi"/>
                      </w:rPr>
                      <w:t>202</w:t>
                    </w:r>
                    <w:r>
                      <w:rPr>
                        <w:rFonts w:asciiTheme="majorHAnsi" w:eastAsiaTheme="majorEastAsia" w:hAnsiTheme="majorHAnsi" w:cstheme="majorBidi"/>
                      </w:rPr>
                      <w:t>4</w:t>
                    </w:r>
                    <w:proofErr w:type="gramEnd"/>
                    <w:r w:rsidR="005E658A">
                      <w:rPr>
                        <w:rFonts w:asciiTheme="majorHAnsi" w:eastAsiaTheme="majorEastAsia" w:hAnsiTheme="majorHAnsi" w:cstheme="majorBidi"/>
                      </w:rPr>
                      <w:t xml:space="preserve"> </w:t>
                    </w:r>
                    <w:r>
                      <w:rPr>
                        <w:rFonts w:asciiTheme="majorHAnsi" w:eastAsiaTheme="majorEastAsia" w:hAnsiTheme="majorHAnsi" w:cstheme="majorBidi"/>
                      </w:rPr>
                      <w:t>Board Meeting</w:t>
                    </w:r>
                  </w:p>
                </w:tc>
              </w:sdtContent>
            </w:sdt>
          </w:tr>
        </w:tbl>
        <w:p w14:paraId="450F4C5C" w14:textId="77777777" w:rsidR="005E658A" w:rsidRDefault="005E658A" w:rsidP="005E658A">
          <w:pPr>
            <w:jc w:val="center"/>
          </w:pPr>
          <w:r>
            <w:rPr>
              <w:noProof/>
              <w:lang w:val="en-CA" w:eastAsia="en-CA"/>
            </w:rPr>
            <w:drawing>
              <wp:inline distT="0" distB="0" distL="0" distR="0" wp14:anchorId="354E151B" wp14:editId="40BB7B1B">
                <wp:extent cx="4181475" cy="990600"/>
                <wp:effectExtent l="0" t="0" r="9525" b="0"/>
                <wp:docPr id="1" name="Picture 1" descr="Image result for district of nipissing social services administratio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district of nipissing social services administration bo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1475" cy="990600"/>
                        </a:xfrm>
                        <a:prstGeom prst="rect">
                          <a:avLst/>
                        </a:prstGeom>
                        <a:noFill/>
                        <a:ln>
                          <a:noFill/>
                        </a:ln>
                      </pic:spPr>
                    </pic:pic>
                  </a:graphicData>
                </a:graphic>
              </wp:inline>
            </w:drawing>
          </w:r>
        </w:p>
        <w:p w14:paraId="76F12EB3" w14:textId="77777777" w:rsidR="005E658A" w:rsidRDefault="005E658A"/>
        <w:tbl>
          <w:tblPr>
            <w:tblpPr w:leftFromText="187" w:rightFromText="187" w:horzAnchor="margin" w:tblpXSpec="center" w:tblpYSpec="bottom"/>
            <w:tblW w:w="4000" w:type="pct"/>
            <w:tblLook w:val="04A0" w:firstRow="1" w:lastRow="0" w:firstColumn="1" w:lastColumn="0" w:noHBand="0" w:noVBand="1"/>
          </w:tblPr>
          <w:tblGrid>
            <w:gridCol w:w="7488"/>
          </w:tblGrid>
          <w:tr w:rsidR="005E658A" w14:paraId="242745B8" w14:textId="77777777">
            <w:tc>
              <w:tcPr>
                <w:tcW w:w="7672" w:type="dxa"/>
                <w:tcMar>
                  <w:top w:w="216" w:type="dxa"/>
                  <w:left w:w="115" w:type="dxa"/>
                  <w:bottom w:w="216" w:type="dxa"/>
                  <w:right w:w="115" w:type="dxa"/>
                </w:tcMar>
              </w:tcPr>
              <w:p w14:paraId="1D997B98" w14:textId="77777777" w:rsidR="005E658A" w:rsidRDefault="005E658A">
                <w:pPr>
                  <w:pStyle w:val="NoSpacing"/>
                  <w:rPr>
                    <w:color w:val="4F81BD" w:themeColor="accent1"/>
                  </w:rPr>
                </w:pPr>
              </w:p>
            </w:tc>
          </w:tr>
        </w:tbl>
        <w:p w14:paraId="11AA72F9" w14:textId="77777777" w:rsidR="005E658A" w:rsidRDefault="005E658A"/>
        <w:p w14:paraId="530966BD" w14:textId="77777777" w:rsidR="005E658A" w:rsidRDefault="005E658A">
          <w:pPr>
            <w:rPr>
              <w:rFonts w:asciiTheme="majorHAnsi" w:eastAsiaTheme="majorEastAsia" w:hAnsiTheme="majorHAnsi" w:cstheme="majorBidi"/>
              <w:caps/>
              <w:lang w:eastAsia="ja-JP"/>
            </w:rPr>
          </w:pPr>
          <w:r>
            <w:rPr>
              <w:rFonts w:asciiTheme="majorHAnsi" w:eastAsiaTheme="majorEastAsia" w:hAnsiTheme="majorHAnsi" w:cstheme="majorBidi"/>
              <w:caps/>
              <w:lang w:eastAsia="ja-JP"/>
            </w:rPr>
            <w:br w:type="page"/>
          </w:r>
        </w:p>
      </w:sdtContent>
    </w:sdt>
    <w:sdt>
      <w:sdtPr>
        <w:rPr>
          <w:rFonts w:asciiTheme="minorHAnsi" w:eastAsiaTheme="minorHAnsi" w:hAnsiTheme="minorHAnsi" w:cstheme="minorBidi"/>
          <w:b w:val="0"/>
          <w:bCs w:val="0"/>
          <w:color w:val="auto"/>
          <w:sz w:val="22"/>
          <w:szCs w:val="22"/>
          <w:lang w:eastAsia="en-US"/>
        </w:rPr>
        <w:id w:val="881516964"/>
        <w:docPartObj>
          <w:docPartGallery w:val="Table of Contents"/>
          <w:docPartUnique/>
        </w:docPartObj>
      </w:sdtPr>
      <w:sdtEndPr>
        <w:rPr>
          <w:noProof/>
        </w:rPr>
      </w:sdtEndPr>
      <w:sdtContent>
        <w:p w14:paraId="2AB747EA" w14:textId="77777777" w:rsidR="005E658A" w:rsidRDefault="005E658A">
          <w:pPr>
            <w:pStyle w:val="TOCHeading"/>
          </w:pPr>
          <w:r>
            <w:t>Table of Contents</w:t>
          </w:r>
        </w:p>
        <w:p w14:paraId="69450F9E" w14:textId="4C1F57C3" w:rsidR="0052389C" w:rsidRDefault="005E658A">
          <w:pPr>
            <w:pStyle w:val="TOC1"/>
            <w:rPr>
              <w:rFonts w:eastAsiaTheme="minorEastAsia"/>
              <w:noProof/>
              <w:kern w:val="2"/>
              <w:lang w:val="en-CA" w:eastAsia="en-CA"/>
              <w14:ligatures w14:val="standardContextual"/>
            </w:rPr>
          </w:pPr>
          <w:r>
            <w:fldChar w:fldCharType="begin"/>
          </w:r>
          <w:r>
            <w:instrText xml:space="preserve"> TOC \o "1-3" \h \z \u </w:instrText>
          </w:r>
          <w:r>
            <w:fldChar w:fldCharType="separate"/>
          </w:r>
          <w:hyperlink w:anchor="_Toc155193113" w:history="1">
            <w:r w:rsidR="0052389C" w:rsidRPr="00C5392F">
              <w:rPr>
                <w:rStyle w:val="Hyperlink"/>
                <w:noProof/>
              </w:rPr>
              <w:t>1.</w:t>
            </w:r>
            <w:r w:rsidR="0052389C">
              <w:rPr>
                <w:rFonts w:eastAsiaTheme="minorEastAsia"/>
                <w:noProof/>
                <w:kern w:val="2"/>
                <w:lang w:val="en-CA" w:eastAsia="en-CA"/>
                <w14:ligatures w14:val="standardContextual"/>
              </w:rPr>
              <w:tab/>
            </w:r>
            <w:r w:rsidR="0052389C" w:rsidRPr="00C5392F">
              <w:rPr>
                <w:rStyle w:val="Hyperlink"/>
                <w:noProof/>
              </w:rPr>
              <w:t>Purpose</w:t>
            </w:r>
            <w:r w:rsidR="0052389C">
              <w:rPr>
                <w:noProof/>
                <w:webHidden/>
              </w:rPr>
              <w:tab/>
            </w:r>
            <w:r w:rsidR="0052389C">
              <w:rPr>
                <w:noProof/>
                <w:webHidden/>
              </w:rPr>
              <w:fldChar w:fldCharType="begin"/>
            </w:r>
            <w:r w:rsidR="0052389C">
              <w:rPr>
                <w:noProof/>
                <w:webHidden/>
              </w:rPr>
              <w:instrText xml:space="preserve"> PAGEREF _Toc155193113 \h </w:instrText>
            </w:r>
            <w:r w:rsidR="0052389C">
              <w:rPr>
                <w:noProof/>
                <w:webHidden/>
              </w:rPr>
            </w:r>
            <w:r w:rsidR="0052389C">
              <w:rPr>
                <w:noProof/>
                <w:webHidden/>
              </w:rPr>
              <w:fldChar w:fldCharType="separate"/>
            </w:r>
            <w:r w:rsidR="0052389C">
              <w:rPr>
                <w:noProof/>
                <w:webHidden/>
              </w:rPr>
              <w:t>2</w:t>
            </w:r>
            <w:r w:rsidR="0052389C">
              <w:rPr>
                <w:noProof/>
                <w:webHidden/>
              </w:rPr>
              <w:fldChar w:fldCharType="end"/>
            </w:r>
          </w:hyperlink>
        </w:p>
        <w:p w14:paraId="19750315" w14:textId="22FE8B7D" w:rsidR="0052389C" w:rsidRDefault="00823884">
          <w:pPr>
            <w:pStyle w:val="TOC1"/>
            <w:rPr>
              <w:rFonts w:eastAsiaTheme="minorEastAsia"/>
              <w:noProof/>
              <w:kern w:val="2"/>
              <w:lang w:val="en-CA" w:eastAsia="en-CA"/>
              <w14:ligatures w14:val="standardContextual"/>
            </w:rPr>
          </w:pPr>
          <w:hyperlink w:anchor="_Toc155193114" w:history="1">
            <w:r w:rsidR="0052389C" w:rsidRPr="00C5392F">
              <w:rPr>
                <w:rStyle w:val="Hyperlink"/>
                <w:noProof/>
              </w:rPr>
              <w:t>2.</w:t>
            </w:r>
            <w:r w:rsidR="0052389C">
              <w:rPr>
                <w:rFonts w:eastAsiaTheme="minorEastAsia"/>
                <w:noProof/>
                <w:kern w:val="2"/>
                <w:lang w:val="en-CA" w:eastAsia="en-CA"/>
                <w14:ligatures w14:val="standardContextual"/>
              </w:rPr>
              <w:tab/>
            </w:r>
            <w:r w:rsidR="0052389C" w:rsidRPr="00C5392F">
              <w:rPr>
                <w:rStyle w:val="Hyperlink"/>
                <w:noProof/>
              </w:rPr>
              <w:t>Background</w:t>
            </w:r>
            <w:r w:rsidR="0052389C">
              <w:rPr>
                <w:noProof/>
                <w:webHidden/>
              </w:rPr>
              <w:tab/>
            </w:r>
            <w:r w:rsidR="0052389C">
              <w:rPr>
                <w:noProof/>
                <w:webHidden/>
              </w:rPr>
              <w:fldChar w:fldCharType="begin"/>
            </w:r>
            <w:r w:rsidR="0052389C">
              <w:rPr>
                <w:noProof/>
                <w:webHidden/>
              </w:rPr>
              <w:instrText xml:space="preserve"> PAGEREF _Toc155193114 \h </w:instrText>
            </w:r>
            <w:r w:rsidR="0052389C">
              <w:rPr>
                <w:noProof/>
                <w:webHidden/>
              </w:rPr>
            </w:r>
            <w:r w:rsidR="0052389C">
              <w:rPr>
                <w:noProof/>
                <w:webHidden/>
              </w:rPr>
              <w:fldChar w:fldCharType="separate"/>
            </w:r>
            <w:r w:rsidR="0052389C">
              <w:rPr>
                <w:noProof/>
                <w:webHidden/>
              </w:rPr>
              <w:t>2</w:t>
            </w:r>
            <w:r w:rsidR="0052389C">
              <w:rPr>
                <w:noProof/>
                <w:webHidden/>
              </w:rPr>
              <w:fldChar w:fldCharType="end"/>
            </w:r>
          </w:hyperlink>
        </w:p>
        <w:p w14:paraId="3903F893" w14:textId="3CB514FB" w:rsidR="0052389C" w:rsidRDefault="00823884">
          <w:pPr>
            <w:pStyle w:val="TOC2"/>
            <w:rPr>
              <w:rFonts w:eastAsiaTheme="minorEastAsia"/>
              <w:noProof/>
              <w:kern w:val="2"/>
              <w:lang w:val="en-CA" w:eastAsia="en-CA"/>
              <w14:ligatures w14:val="standardContextual"/>
            </w:rPr>
          </w:pPr>
          <w:hyperlink w:anchor="_Toc155193115" w:history="1">
            <w:r w:rsidR="0052389C" w:rsidRPr="00C5392F">
              <w:rPr>
                <w:rStyle w:val="Hyperlink"/>
                <w:noProof/>
              </w:rPr>
              <w:t>2.1 Cost Pressures</w:t>
            </w:r>
            <w:r w:rsidR="0052389C">
              <w:rPr>
                <w:noProof/>
                <w:webHidden/>
              </w:rPr>
              <w:tab/>
            </w:r>
            <w:r w:rsidR="0052389C">
              <w:rPr>
                <w:noProof/>
                <w:webHidden/>
              </w:rPr>
              <w:fldChar w:fldCharType="begin"/>
            </w:r>
            <w:r w:rsidR="0052389C">
              <w:rPr>
                <w:noProof/>
                <w:webHidden/>
              </w:rPr>
              <w:instrText xml:space="preserve"> PAGEREF _Toc155193115 \h </w:instrText>
            </w:r>
            <w:r w:rsidR="0052389C">
              <w:rPr>
                <w:noProof/>
                <w:webHidden/>
              </w:rPr>
            </w:r>
            <w:r w:rsidR="0052389C">
              <w:rPr>
                <w:noProof/>
                <w:webHidden/>
              </w:rPr>
              <w:fldChar w:fldCharType="separate"/>
            </w:r>
            <w:r w:rsidR="0052389C">
              <w:rPr>
                <w:noProof/>
                <w:webHidden/>
              </w:rPr>
              <w:t>3</w:t>
            </w:r>
            <w:r w:rsidR="0052389C">
              <w:rPr>
                <w:noProof/>
                <w:webHidden/>
              </w:rPr>
              <w:fldChar w:fldCharType="end"/>
            </w:r>
          </w:hyperlink>
        </w:p>
        <w:p w14:paraId="6863DEDD" w14:textId="595886EB" w:rsidR="0052389C" w:rsidRDefault="00823884">
          <w:pPr>
            <w:pStyle w:val="TOC1"/>
            <w:rPr>
              <w:rFonts w:eastAsiaTheme="minorEastAsia"/>
              <w:noProof/>
              <w:kern w:val="2"/>
              <w:lang w:val="en-CA" w:eastAsia="en-CA"/>
              <w14:ligatures w14:val="standardContextual"/>
            </w:rPr>
          </w:pPr>
          <w:hyperlink w:anchor="_Toc155193116" w:history="1">
            <w:r w:rsidR="0052389C" w:rsidRPr="00C5392F">
              <w:rPr>
                <w:rStyle w:val="Hyperlink"/>
                <w:noProof/>
              </w:rPr>
              <w:t>3.</w:t>
            </w:r>
            <w:r w:rsidR="0052389C">
              <w:rPr>
                <w:rFonts w:eastAsiaTheme="minorEastAsia"/>
                <w:noProof/>
                <w:kern w:val="2"/>
                <w:lang w:val="en-CA" w:eastAsia="en-CA"/>
                <w14:ligatures w14:val="standardContextual"/>
              </w:rPr>
              <w:tab/>
            </w:r>
            <w:r w:rsidR="0052389C" w:rsidRPr="00C5392F">
              <w:rPr>
                <w:rStyle w:val="Hyperlink"/>
                <w:noProof/>
              </w:rPr>
              <w:t>Report</w:t>
            </w:r>
            <w:r w:rsidR="0052389C">
              <w:rPr>
                <w:noProof/>
                <w:webHidden/>
              </w:rPr>
              <w:tab/>
            </w:r>
            <w:r w:rsidR="0052389C">
              <w:rPr>
                <w:noProof/>
                <w:webHidden/>
              </w:rPr>
              <w:fldChar w:fldCharType="begin"/>
            </w:r>
            <w:r w:rsidR="0052389C">
              <w:rPr>
                <w:noProof/>
                <w:webHidden/>
              </w:rPr>
              <w:instrText xml:space="preserve"> PAGEREF _Toc155193116 \h </w:instrText>
            </w:r>
            <w:r w:rsidR="0052389C">
              <w:rPr>
                <w:noProof/>
                <w:webHidden/>
              </w:rPr>
            </w:r>
            <w:r w:rsidR="0052389C">
              <w:rPr>
                <w:noProof/>
                <w:webHidden/>
              </w:rPr>
              <w:fldChar w:fldCharType="separate"/>
            </w:r>
            <w:r w:rsidR="0052389C">
              <w:rPr>
                <w:noProof/>
                <w:webHidden/>
              </w:rPr>
              <w:t>4</w:t>
            </w:r>
            <w:r w:rsidR="0052389C">
              <w:rPr>
                <w:noProof/>
                <w:webHidden/>
              </w:rPr>
              <w:fldChar w:fldCharType="end"/>
            </w:r>
          </w:hyperlink>
        </w:p>
        <w:p w14:paraId="5A69BEB7" w14:textId="526E2CDD" w:rsidR="0052389C" w:rsidRDefault="00823884">
          <w:pPr>
            <w:pStyle w:val="TOC2"/>
            <w:rPr>
              <w:rFonts w:eastAsiaTheme="minorEastAsia"/>
              <w:noProof/>
              <w:kern w:val="2"/>
              <w:lang w:val="en-CA" w:eastAsia="en-CA"/>
              <w14:ligatures w14:val="standardContextual"/>
            </w:rPr>
          </w:pPr>
          <w:hyperlink w:anchor="_Toc155193117" w:history="1">
            <w:r w:rsidR="0052389C" w:rsidRPr="00C5392F">
              <w:rPr>
                <w:rStyle w:val="Hyperlink"/>
                <w:noProof/>
              </w:rPr>
              <w:t>3.1 Budget Overview</w:t>
            </w:r>
            <w:r w:rsidR="0052389C">
              <w:rPr>
                <w:noProof/>
                <w:webHidden/>
              </w:rPr>
              <w:tab/>
            </w:r>
            <w:r w:rsidR="0052389C">
              <w:rPr>
                <w:noProof/>
                <w:webHidden/>
              </w:rPr>
              <w:fldChar w:fldCharType="begin"/>
            </w:r>
            <w:r w:rsidR="0052389C">
              <w:rPr>
                <w:noProof/>
                <w:webHidden/>
              </w:rPr>
              <w:instrText xml:space="preserve"> PAGEREF _Toc155193117 \h </w:instrText>
            </w:r>
            <w:r w:rsidR="0052389C">
              <w:rPr>
                <w:noProof/>
                <w:webHidden/>
              </w:rPr>
            </w:r>
            <w:r w:rsidR="0052389C">
              <w:rPr>
                <w:noProof/>
                <w:webHidden/>
              </w:rPr>
              <w:fldChar w:fldCharType="separate"/>
            </w:r>
            <w:r w:rsidR="0052389C">
              <w:rPr>
                <w:noProof/>
                <w:webHidden/>
              </w:rPr>
              <w:t>4</w:t>
            </w:r>
            <w:r w:rsidR="0052389C">
              <w:rPr>
                <w:noProof/>
                <w:webHidden/>
              </w:rPr>
              <w:fldChar w:fldCharType="end"/>
            </w:r>
          </w:hyperlink>
        </w:p>
        <w:p w14:paraId="25C66B0B" w14:textId="21F1A7EE" w:rsidR="0052389C" w:rsidRDefault="00823884">
          <w:pPr>
            <w:pStyle w:val="TOC2"/>
            <w:rPr>
              <w:rFonts w:eastAsiaTheme="minorEastAsia"/>
              <w:noProof/>
              <w:kern w:val="2"/>
              <w:lang w:val="en-CA" w:eastAsia="en-CA"/>
              <w14:ligatures w14:val="standardContextual"/>
            </w:rPr>
          </w:pPr>
          <w:hyperlink w:anchor="_Toc155193118" w:history="1">
            <w:r w:rsidR="0052389C" w:rsidRPr="00C5392F">
              <w:rPr>
                <w:rStyle w:val="Hyperlink"/>
                <w:noProof/>
              </w:rPr>
              <w:t>3.2 Ontario Works</w:t>
            </w:r>
            <w:r w:rsidR="0052389C">
              <w:rPr>
                <w:noProof/>
                <w:webHidden/>
              </w:rPr>
              <w:tab/>
            </w:r>
            <w:r w:rsidR="0052389C">
              <w:rPr>
                <w:noProof/>
                <w:webHidden/>
              </w:rPr>
              <w:fldChar w:fldCharType="begin"/>
            </w:r>
            <w:r w:rsidR="0052389C">
              <w:rPr>
                <w:noProof/>
                <w:webHidden/>
              </w:rPr>
              <w:instrText xml:space="preserve"> PAGEREF _Toc155193118 \h </w:instrText>
            </w:r>
            <w:r w:rsidR="0052389C">
              <w:rPr>
                <w:noProof/>
                <w:webHidden/>
              </w:rPr>
            </w:r>
            <w:r w:rsidR="0052389C">
              <w:rPr>
                <w:noProof/>
                <w:webHidden/>
              </w:rPr>
              <w:fldChar w:fldCharType="separate"/>
            </w:r>
            <w:r w:rsidR="0052389C">
              <w:rPr>
                <w:noProof/>
                <w:webHidden/>
              </w:rPr>
              <w:t>5</w:t>
            </w:r>
            <w:r w:rsidR="0052389C">
              <w:rPr>
                <w:noProof/>
                <w:webHidden/>
              </w:rPr>
              <w:fldChar w:fldCharType="end"/>
            </w:r>
          </w:hyperlink>
        </w:p>
        <w:p w14:paraId="48054270" w14:textId="0E1CE1E1" w:rsidR="0052389C" w:rsidRDefault="00823884">
          <w:pPr>
            <w:pStyle w:val="TOC2"/>
            <w:rPr>
              <w:rFonts w:eastAsiaTheme="minorEastAsia"/>
              <w:noProof/>
              <w:kern w:val="2"/>
              <w:lang w:val="en-CA" w:eastAsia="en-CA"/>
              <w14:ligatures w14:val="standardContextual"/>
            </w:rPr>
          </w:pPr>
          <w:hyperlink w:anchor="_Toc155193119" w:history="1">
            <w:r w:rsidR="0052389C" w:rsidRPr="00C5392F">
              <w:rPr>
                <w:rStyle w:val="Hyperlink"/>
                <w:noProof/>
              </w:rPr>
              <w:t>3.3 Children’s Services</w:t>
            </w:r>
            <w:r w:rsidR="0052389C">
              <w:rPr>
                <w:noProof/>
                <w:webHidden/>
              </w:rPr>
              <w:tab/>
            </w:r>
            <w:r w:rsidR="0052389C">
              <w:rPr>
                <w:noProof/>
                <w:webHidden/>
              </w:rPr>
              <w:fldChar w:fldCharType="begin"/>
            </w:r>
            <w:r w:rsidR="0052389C">
              <w:rPr>
                <w:noProof/>
                <w:webHidden/>
              </w:rPr>
              <w:instrText xml:space="preserve"> PAGEREF _Toc155193119 \h </w:instrText>
            </w:r>
            <w:r w:rsidR="0052389C">
              <w:rPr>
                <w:noProof/>
                <w:webHidden/>
              </w:rPr>
            </w:r>
            <w:r w:rsidR="0052389C">
              <w:rPr>
                <w:noProof/>
                <w:webHidden/>
              </w:rPr>
              <w:fldChar w:fldCharType="separate"/>
            </w:r>
            <w:r w:rsidR="0052389C">
              <w:rPr>
                <w:noProof/>
                <w:webHidden/>
              </w:rPr>
              <w:t>8</w:t>
            </w:r>
            <w:r w:rsidR="0052389C">
              <w:rPr>
                <w:noProof/>
                <w:webHidden/>
              </w:rPr>
              <w:fldChar w:fldCharType="end"/>
            </w:r>
          </w:hyperlink>
        </w:p>
        <w:p w14:paraId="0CD29A6F" w14:textId="7DB240D4" w:rsidR="0052389C" w:rsidRDefault="00823884">
          <w:pPr>
            <w:pStyle w:val="TOC2"/>
            <w:rPr>
              <w:rFonts w:eastAsiaTheme="minorEastAsia"/>
              <w:noProof/>
              <w:kern w:val="2"/>
              <w:lang w:val="en-CA" w:eastAsia="en-CA"/>
              <w14:ligatures w14:val="standardContextual"/>
            </w:rPr>
          </w:pPr>
          <w:hyperlink w:anchor="_Toc155193120" w:history="1">
            <w:r w:rsidR="0052389C" w:rsidRPr="00C5392F">
              <w:rPr>
                <w:rStyle w:val="Hyperlink"/>
                <w:noProof/>
              </w:rPr>
              <w:t>3.4 Housing Services</w:t>
            </w:r>
            <w:r w:rsidR="0052389C">
              <w:rPr>
                <w:noProof/>
                <w:webHidden/>
              </w:rPr>
              <w:tab/>
            </w:r>
            <w:r w:rsidR="0052389C">
              <w:rPr>
                <w:noProof/>
                <w:webHidden/>
              </w:rPr>
              <w:fldChar w:fldCharType="begin"/>
            </w:r>
            <w:r w:rsidR="0052389C">
              <w:rPr>
                <w:noProof/>
                <w:webHidden/>
              </w:rPr>
              <w:instrText xml:space="preserve"> PAGEREF _Toc155193120 \h </w:instrText>
            </w:r>
            <w:r w:rsidR="0052389C">
              <w:rPr>
                <w:noProof/>
                <w:webHidden/>
              </w:rPr>
            </w:r>
            <w:r w:rsidR="0052389C">
              <w:rPr>
                <w:noProof/>
                <w:webHidden/>
              </w:rPr>
              <w:fldChar w:fldCharType="separate"/>
            </w:r>
            <w:r w:rsidR="0052389C">
              <w:rPr>
                <w:noProof/>
                <w:webHidden/>
              </w:rPr>
              <w:t>11</w:t>
            </w:r>
            <w:r w:rsidR="0052389C">
              <w:rPr>
                <w:noProof/>
                <w:webHidden/>
              </w:rPr>
              <w:fldChar w:fldCharType="end"/>
            </w:r>
          </w:hyperlink>
        </w:p>
        <w:p w14:paraId="067B3C57" w14:textId="02FECD7D" w:rsidR="0052389C" w:rsidRDefault="00823884">
          <w:pPr>
            <w:pStyle w:val="TOC2"/>
            <w:rPr>
              <w:rFonts w:eastAsiaTheme="minorEastAsia"/>
              <w:noProof/>
              <w:kern w:val="2"/>
              <w:lang w:val="en-CA" w:eastAsia="en-CA"/>
              <w14:ligatures w14:val="standardContextual"/>
            </w:rPr>
          </w:pPr>
          <w:hyperlink w:anchor="_Toc155193121" w:history="1">
            <w:r w:rsidR="0052389C" w:rsidRPr="00C5392F">
              <w:rPr>
                <w:rStyle w:val="Hyperlink"/>
                <w:noProof/>
              </w:rPr>
              <w:t>3.5 Paramedic Services</w:t>
            </w:r>
            <w:r w:rsidR="0052389C">
              <w:rPr>
                <w:noProof/>
                <w:webHidden/>
              </w:rPr>
              <w:tab/>
            </w:r>
            <w:r w:rsidR="0052389C">
              <w:rPr>
                <w:noProof/>
                <w:webHidden/>
              </w:rPr>
              <w:fldChar w:fldCharType="begin"/>
            </w:r>
            <w:r w:rsidR="0052389C">
              <w:rPr>
                <w:noProof/>
                <w:webHidden/>
              </w:rPr>
              <w:instrText xml:space="preserve"> PAGEREF _Toc155193121 \h </w:instrText>
            </w:r>
            <w:r w:rsidR="0052389C">
              <w:rPr>
                <w:noProof/>
                <w:webHidden/>
              </w:rPr>
            </w:r>
            <w:r w:rsidR="0052389C">
              <w:rPr>
                <w:noProof/>
                <w:webHidden/>
              </w:rPr>
              <w:fldChar w:fldCharType="separate"/>
            </w:r>
            <w:r w:rsidR="0052389C">
              <w:rPr>
                <w:noProof/>
                <w:webHidden/>
              </w:rPr>
              <w:t>15</w:t>
            </w:r>
            <w:r w:rsidR="0052389C">
              <w:rPr>
                <w:noProof/>
                <w:webHidden/>
              </w:rPr>
              <w:fldChar w:fldCharType="end"/>
            </w:r>
          </w:hyperlink>
        </w:p>
        <w:p w14:paraId="40C688EE" w14:textId="364675FA" w:rsidR="0052389C" w:rsidRDefault="00823884">
          <w:pPr>
            <w:pStyle w:val="TOC2"/>
            <w:rPr>
              <w:rFonts w:eastAsiaTheme="minorEastAsia"/>
              <w:noProof/>
              <w:kern w:val="2"/>
              <w:lang w:val="en-CA" w:eastAsia="en-CA"/>
              <w14:ligatures w14:val="standardContextual"/>
            </w:rPr>
          </w:pPr>
          <w:hyperlink w:anchor="_Toc155193122" w:history="1">
            <w:r w:rsidR="0052389C" w:rsidRPr="00C5392F">
              <w:rPr>
                <w:rStyle w:val="Hyperlink"/>
                <w:noProof/>
              </w:rPr>
              <w:t>3.6 Community Paramedicine</w:t>
            </w:r>
            <w:r w:rsidR="0052389C">
              <w:rPr>
                <w:noProof/>
                <w:webHidden/>
              </w:rPr>
              <w:tab/>
            </w:r>
            <w:r w:rsidR="0052389C">
              <w:rPr>
                <w:noProof/>
                <w:webHidden/>
              </w:rPr>
              <w:fldChar w:fldCharType="begin"/>
            </w:r>
            <w:r w:rsidR="0052389C">
              <w:rPr>
                <w:noProof/>
                <w:webHidden/>
              </w:rPr>
              <w:instrText xml:space="preserve"> PAGEREF _Toc155193122 \h </w:instrText>
            </w:r>
            <w:r w:rsidR="0052389C">
              <w:rPr>
                <w:noProof/>
                <w:webHidden/>
              </w:rPr>
            </w:r>
            <w:r w:rsidR="0052389C">
              <w:rPr>
                <w:noProof/>
                <w:webHidden/>
              </w:rPr>
              <w:fldChar w:fldCharType="separate"/>
            </w:r>
            <w:r w:rsidR="0052389C">
              <w:rPr>
                <w:noProof/>
                <w:webHidden/>
              </w:rPr>
              <w:t>19</w:t>
            </w:r>
            <w:r w:rsidR="0052389C">
              <w:rPr>
                <w:noProof/>
                <w:webHidden/>
              </w:rPr>
              <w:fldChar w:fldCharType="end"/>
            </w:r>
          </w:hyperlink>
        </w:p>
        <w:p w14:paraId="1B7FFC90" w14:textId="5D19F920" w:rsidR="0052389C" w:rsidRDefault="00823884">
          <w:pPr>
            <w:pStyle w:val="TOC2"/>
            <w:rPr>
              <w:rFonts w:eastAsiaTheme="minorEastAsia"/>
              <w:noProof/>
              <w:kern w:val="2"/>
              <w:lang w:val="en-CA" w:eastAsia="en-CA"/>
              <w14:ligatures w14:val="standardContextual"/>
            </w:rPr>
          </w:pPr>
          <w:hyperlink w:anchor="_Toc155193123" w:history="1">
            <w:r w:rsidR="0052389C" w:rsidRPr="00C5392F">
              <w:rPr>
                <w:rStyle w:val="Hyperlink"/>
                <w:noProof/>
              </w:rPr>
              <w:t>3.7 Healthy Communities Fund</w:t>
            </w:r>
            <w:r w:rsidR="0052389C">
              <w:rPr>
                <w:noProof/>
                <w:webHidden/>
              </w:rPr>
              <w:tab/>
            </w:r>
            <w:r w:rsidR="0052389C">
              <w:rPr>
                <w:noProof/>
                <w:webHidden/>
              </w:rPr>
              <w:fldChar w:fldCharType="begin"/>
            </w:r>
            <w:r w:rsidR="0052389C">
              <w:rPr>
                <w:noProof/>
                <w:webHidden/>
              </w:rPr>
              <w:instrText xml:space="preserve"> PAGEREF _Toc155193123 \h </w:instrText>
            </w:r>
            <w:r w:rsidR="0052389C">
              <w:rPr>
                <w:noProof/>
                <w:webHidden/>
              </w:rPr>
            </w:r>
            <w:r w:rsidR="0052389C">
              <w:rPr>
                <w:noProof/>
                <w:webHidden/>
              </w:rPr>
              <w:fldChar w:fldCharType="separate"/>
            </w:r>
            <w:r w:rsidR="0052389C">
              <w:rPr>
                <w:noProof/>
                <w:webHidden/>
              </w:rPr>
              <w:t>20</w:t>
            </w:r>
            <w:r w:rsidR="0052389C">
              <w:rPr>
                <w:noProof/>
                <w:webHidden/>
              </w:rPr>
              <w:fldChar w:fldCharType="end"/>
            </w:r>
          </w:hyperlink>
        </w:p>
        <w:p w14:paraId="1808DB95" w14:textId="5B12592F" w:rsidR="0052389C" w:rsidRDefault="00823884">
          <w:pPr>
            <w:pStyle w:val="TOC2"/>
            <w:rPr>
              <w:rFonts w:eastAsiaTheme="minorEastAsia"/>
              <w:noProof/>
              <w:kern w:val="2"/>
              <w:lang w:val="en-CA" w:eastAsia="en-CA"/>
              <w14:ligatures w14:val="standardContextual"/>
            </w:rPr>
          </w:pPr>
          <w:hyperlink w:anchor="_Toc155193124" w:history="1">
            <w:r w:rsidR="0052389C" w:rsidRPr="00C5392F">
              <w:rPr>
                <w:rStyle w:val="Hyperlink"/>
                <w:noProof/>
              </w:rPr>
              <w:t>3.8 Corporate Services</w:t>
            </w:r>
            <w:r w:rsidR="0052389C">
              <w:rPr>
                <w:noProof/>
                <w:webHidden/>
              </w:rPr>
              <w:tab/>
            </w:r>
            <w:r w:rsidR="0052389C">
              <w:rPr>
                <w:noProof/>
                <w:webHidden/>
              </w:rPr>
              <w:fldChar w:fldCharType="begin"/>
            </w:r>
            <w:r w:rsidR="0052389C">
              <w:rPr>
                <w:noProof/>
                <w:webHidden/>
              </w:rPr>
              <w:instrText xml:space="preserve"> PAGEREF _Toc155193124 \h </w:instrText>
            </w:r>
            <w:r w:rsidR="0052389C">
              <w:rPr>
                <w:noProof/>
                <w:webHidden/>
              </w:rPr>
            </w:r>
            <w:r w:rsidR="0052389C">
              <w:rPr>
                <w:noProof/>
                <w:webHidden/>
              </w:rPr>
              <w:fldChar w:fldCharType="separate"/>
            </w:r>
            <w:r w:rsidR="0052389C">
              <w:rPr>
                <w:noProof/>
                <w:webHidden/>
              </w:rPr>
              <w:t>21</w:t>
            </w:r>
            <w:r w:rsidR="0052389C">
              <w:rPr>
                <w:noProof/>
                <w:webHidden/>
              </w:rPr>
              <w:fldChar w:fldCharType="end"/>
            </w:r>
          </w:hyperlink>
        </w:p>
        <w:p w14:paraId="26DCB09B" w14:textId="754F7BEE" w:rsidR="0052389C" w:rsidRDefault="00823884">
          <w:pPr>
            <w:pStyle w:val="TOC2"/>
            <w:rPr>
              <w:rFonts w:eastAsiaTheme="minorEastAsia"/>
              <w:noProof/>
              <w:kern w:val="2"/>
              <w:lang w:val="en-CA" w:eastAsia="en-CA"/>
              <w14:ligatures w14:val="standardContextual"/>
            </w:rPr>
          </w:pPr>
          <w:hyperlink w:anchor="_Toc155193125" w:history="1">
            <w:r w:rsidR="0052389C" w:rsidRPr="00C5392F">
              <w:rPr>
                <w:rStyle w:val="Hyperlink"/>
                <w:noProof/>
              </w:rPr>
              <w:t>3.9 Board</w:t>
            </w:r>
            <w:r w:rsidR="0052389C">
              <w:rPr>
                <w:noProof/>
                <w:webHidden/>
              </w:rPr>
              <w:tab/>
            </w:r>
            <w:r w:rsidR="0052389C">
              <w:rPr>
                <w:noProof/>
                <w:webHidden/>
              </w:rPr>
              <w:fldChar w:fldCharType="begin"/>
            </w:r>
            <w:r w:rsidR="0052389C">
              <w:rPr>
                <w:noProof/>
                <w:webHidden/>
              </w:rPr>
              <w:instrText xml:space="preserve"> PAGEREF _Toc155193125 \h </w:instrText>
            </w:r>
            <w:r w:rsidR="0052389C">
              <w:rPr>
                <w:noProof/>
                <w:webHidden/>
              </w:rPr>
            </w:r>
            <w:r w:rsidR="0052389C">
              <w:rPr>
                <w:noProof/>
                <w:webHidden/>
              </w:rPr>
              <w:fldChar w:fldCharType="separate"/>
            </w:r>
            <w:r w:rsidR="0052389C">
              <w:rPr>
                <w:noProof/>
                <w:webHidden/>
              </w:rPr>
              <w:t>23</w:t>
            </w:r>
            <w:r w:rsidR="0052389C">
              <w:rPr>
                <w:noProof/>
                <w:webHidden/>
              </w:rPr>
              <w:fldChar w:fldCharType="end"/>
            </w:r>
          </w:hyperlink>
        </w:p>
        <w:p w14:paraId="7B6FFD1A" w14:textId="6FFAF5D0" w:rsidR="0052389C" w:rsidRDefault="00823884">
          <w:pPr>
            <w:pStyle w:val="TOC2"/>
            <w:rPr>
              <w:rFonts w:eastAsiaTheme="minorEastAsia"/>
              <w:noProof/>
              <w:kern w:val="2"/>
              <w:lang w:val="en-CA" w:eastAsia="en-CA"/>
              <w14:ligatures w14:val="standardContextual"/>
            </w:rPr>
          </w:pPr>
          <w:hyperlink w:anchor="_Toc155193126" w:history="1">
            <w:r w:rsidR="0052389C" w:rsidRPr="00C5392F">
              <w:rPr>
                <w:rStyle w:val="Hyperlink"/>
                <w:noProof/>
              </w:rPr>
              <w:t>3.10 Summary</w:t>
            </w:r>
            <w:r w:rsidR="0052389C">
              <w:rPr>
                <w:noProof/>
                <w:webHidden/>
              </w:rPr>
              <w:tab/>
            </w:r>
            <w:r w:rsidR="0052389C">
              <w:rPr>
                <w:noProof/>
                <w:webHidden/>
              </w:rPr>
              <w:fldChar w:fldCharType="begin"/>
            </w:r>
            <w:r w:rsidR="0052389C">
              <w:rPr>
                <w:noProof/>
                <w:webHidden/>
              </w:rPr>
              <w:instrText xml:space="preserve"> PAGEREF _Toc155193126 \h </w:instrText>
            </w:r>
            <w:r w:rsidR="0052389C">
              <w:rPr>
                <w:noProof/>
                <w:webHidden/>
              </w:rPr>
            </w:r>
            <w:r w:rsidR="0052389C">
              <w:rPr>
                <w:noProof/>
                <w:webHidden/>
              </w:rPr>
              <w:fldChar w:fldCharType="separate"/>
            </w:r>
            <w:r w:rsidR="0052389C">
              <w:rPr>
                <w:noProof/>
                <w:webHidden/>
              </w:rPr>
              <w:t>24</w:t>
            </w:r>
            <w:r w:rsidR="0052389C">
              <w:rPr>
                <w:noProof/>
                <w:webHidden/>
              </w:rPr>
              <w:fldChar w:fldCharType="end"/>
            </w:r>
          </w:hyperlink>
        </w:p>
        <w:p w14:paraId="124DC3A3" w14:textId="05DA8C8F" w:rsidR="0052389C" w:rsidRDefault="00823884">
          <w:pPr>
            <w:pStyle w:val="TOC1"/>
            <w:rPr>
              <w:rFonts w:eastAsiaTheme="minorEastAsia"/>
              <w:noProof/>
              <w:kern w:val="2"/>
              <w:lang w:val="en-CA" w:eastAsia="en-CA"/>
              <w14:ligatures w14:val="standardContextual"/>
            </w:rPr>
          </w:pPr>
          <w:hyperlink w:anchor="_Toc155193127" w:history="1">
            <w:r w:rsidR="0052389C" w:rsidRPr="00C5392F">
              <w:rPr>
                <w:rStyle w:val="Hyperlink"/>
                <w:noProof/>
              </w:rPr>
              <w:t>4.</w:t>
            </w:r>
            <w:r w:rsidR="0052389C">
              <w:rPr>
                <w:rFonts w:eastAsiaTheme="minorEastAsia"/>
                <w:noProof/>
                <w:kern w:val="2"/>
                <w:lang w:val="en-CA" w:eastAsia="en-CA"/>
                <w14:ligatures w14:val="standardContextual"/>
              </w:rPr>
              <w:tab/>
            </w:r>
            <w:r w:rsidR="0052389C" w:rsidRPr="00C5392F">
              <w:rPr>
                <w:rStyle w:val="Hyperlink"/>
                <w:noProof/>
              </w:rPr>
              <w:t>2025 Outlook</w:t>
            </w:r>
            <w:r w:rsidR="0052389C">
              <w:rPr>
                <w:noProof/>
                <w:webHidden/>
              </w:rPr>
              <w:tab/>
            </w:r>
            <w:r w:rsidR="0052389C">
              <w:rPr>
                <w:noProof/>
                <w:webHidden/>
              </w:rPr>
              <w:fldChar w:fldCharType="begin"/>
            </w:r>
            <w:r w:rsidR="0052389C">
              <w:rPr>
                <w:noProof/>
                <w:webHidden/>
              </w:rPr>
              <w:instrText xml:space="preserve"> PAGEREF _Toc155193127 \h </w:instrText>
            </w:r>
            <w:r w:rsidR="0052389C">
              <w:rPr>
                <w:noProof/>
                <w:webHidden/>
              </w:rPr>
            </w:r>
            <w:r w:rsidR="0052389C">
              <w:rPr>
                <w:noProof/>
                <w:webHidden/>
              </w:rPr>
              <w:fldChar w:fldCharType="separate"/>
            </w:r>
            <w:r w:rsidR="0052389C">
              <w:rPr>
                <w:noProof/>
                <w:webHidden/>
              </w:rPr>
              <w:t>25</w:t>
            </w:r>
            <w:r w:rsidR="0052389C">
              <w:rPr>
                <w:noProof/>
                <w:webHidden/>
              </w:rPr>
              <w:fldChar w:fldCharType="end"/>
            </w:r>
          </w:hyperlink>
        </w:p>
        <w:p w14:paraId="4C56FAFD" w14:textId="5A7B8571" w:rsidR="0052389C" w:rsidRDefault="00823884">
          <w:pPr>
            <w:pStyle w:val="TOC2"/>
            <w:rPr>
              <w:rFonts w:eastAsiaTheme="minorEastAsia"/>
              <w:noProof/>
              <w:kern w:val="2"/>
              <w:lang w:val="en-CA" w:eastAsia="en-CA"/>
              <w14:ligatures w14:val="standardContextual"/>
            </w:rPr>
          </w:pPr>
          <w:hyperlink w:anchor="_Toc155193128" w:history="1">
            <w:r w:rsidR="0052389C" w:rsidRPr="00C5392F">
              <w:rPr>
                <w:rStyle w:val="Hyperlink"/>
                <w:noProof/>
              </w:rPr>
              <w:t>4.1 Ontario Works Program Delivery and Employment Assistance Funding</w:t>
            </w:r>
            <w:r w:rsidR="0052389C">
              <w:rPr>
                <w:noProof/>
                <w:webHidden/>
              </w:rPr>
              <w:tab/>
            </w:r>
            <w:r w:rsidR="0052389C">
              <w:rPr>
                <w:noProof/>
                <w:webHidden/>
              </w:rPr>
              <w:fldChar w:fldCharType="begin"/>
            </w:r>
            <w:r w:rsidR="0052389C">
              <w:rPr>
                <w:noProof/>
                <w:webHidden/>
              </w:rPr>
              <w:instrText xml:space="preserve"> PAGEREF _Toc155193128 \h </w:instrText>
            </w:r>
            <w:r w:rsidR="0052389C">
              <w:rPr>
                <w:noProof/>
                <w:webHidden/>
              </w:rPr>
            </w:r>
            <w:r w:rsidR="0052389C">
              <w:rPr>
                <w:noProof/>
                <w:webHidden/>
              </w:rPr>
              <w:fldChar w:fldCharType="separate"/>
            </w:r>
            <w:r w:rsidR="0052389C">
              <w:rPr>
                <w:noProof/>
                <w:webHidden/>
              </w:rPr>
              <w:t>25</w:t>
            </w:r>
            <w:r w:rsidR="0052389C">
              <w:rPr>
                <w:noProof/>
                <w:webHidden/>
              </w:rPr>
              <w:fldChar w:fldCharType="end"/>
            </w:r>
          </w:hyperlink>
        </w:p>
        <w:p w14:paraId="3FE78D48" w14:textId="0D6D49C0" w:rsidR="0052389C" w:rsidRDefault="00823884">
          <w:pPr>
            <w:pStyle w:val="TOC2"/>
            <w:rPr>
              <w:rFonts w:eastAsiaTheme="minorEastAsia"/>
              <w:noProof/>
              <w:kern w:val="2"/>
              <w:lang w:val="en-CA" w:eastAsia="en-CA"/>
              <w14:ligatures w14:val="standardContextual"/>
            </w:rPr>
          </w:pPr>
          <w:hyperlink w:anchor="_Toc155193129" w:history="1">
            <w:r w:rsidR="0052389C" w:rsidRPr="00C5392F">
              <w:rPr>
                <w:rStyle w:val="Hyperlink"/>
                <w:noProof/>
              </w:rPr>
              <w:t>4.2 Children’s Services</w:t>
            </w:r>
            <w:r w:rsidR="0052389C">
              <w:rPr>
                <w:noProof/>
                <w:webHidden/>
              </w:rPr>
              <w:tab/>
            </w:r>
            <w:r w:rsidR="0052389C">
              <w:rPr>
                <w:noProof/>
                <w:webHidden/>
              </w:rPr>
              <w:fldChar w:fldCharType="begin"/>
            </w:r>
            <w:r w:rsidR="0052389C">
              <w:rPr>
                <w:noProof/>
                <w:webHidden/>
              </w:rPr>
              <w:instrText xml:space="preserve"> PAGEREF _Toc155193129 \h </w:instrText>
            </w:r>
            <w:r w:rsidR="0052389C">
              <w:rPr>
                <w:noProof/>
                <w:webHidden/>
              </w:rPr>
            </w:r>
            <w:r w:rsidR="0052389C">
              <w:rPr>
                <w:noProof/>
                <w:webHidden/>
              </w:rPr>
              <w:fldChar w:fldCharType="separate"/>
            </w:r>
            <w:r w:rsidR="0052389C">
              <w:rPr>
                <w:noProof/>
                <w:webHidden/>
              </w:rPr>
              <w:t>25</w:t>
            </w:r>
            <w:r w:rsidR="0052389C">
              <w:rPr>
                <w:noProof/>
                <w:webHidden/>
              </w:rPr>
              <w:fldChar w:fldCharType="end"/>
            </w:r>
          </w:hyperlink>
        </w:p>
        <w:p w14:paraId="3123E709" w14:textId="508FED96" w:rsidR="0052389C" w:rsidRDefault="00823884">
          <w:pPr>
            <w:pStyle w:val="TOC2"/>
            <w:rPr>
              <w:rFonts w:eastAsiaTheme="minorEastAsia"/>
              <w:noProof/>
              <w:kern w:val="2"/>
              <w:lang w:val="en-CA" w:eastAsia="en-CA"/>
              <w14:ligatures w14:val="standardContextual"/>
            </w:rPr>
          </w:pPr>
          <w:hyperlink w:anchor="_Toc155193130" w:history="1">
            <w:r w:rsidR="0052389C" w:rsidRPr="00C5392F">
              <w:rPr>
                <w:rStyle w:val="Hyperlink"/>
                <w:noProof/>
              </w:rPr>
              <w:t>4.3 Housing Services</w:t>
            </w:r>
            <w:r w:rsidR="0052389C">
              <w:rPr>
                <w:noProof/>
                <w:webHidden/>
              </w:rPr>
              <w:tab/>
            </w:r>
            <w:r w:rsidR="0052389C">
              <w:rPr>
                <w:noProof/>
                <w:webHidden/>
              </w:rPr>
              <w:fldChar w:fldCharType="begin"/>
            </w:r>
            <w:r w:rsidR="0052389C">
              <w:rPr>
                <w:noProof/>
                <w:webHidden/>
              </w:rPr>
              <w:instrText xml:space="preserve"> PAGEREF _Toc155193130 \h </w:instrText>
            </w:r>
            <w:r w:rsidR="0052389C">
              <w:rPr>
                <w:noProof/>
                <w:webHidden/>
              </w:rPr>
            </w:r>
            <w:r w:rsidR="0052389C">
              <w:rPr>
                <w:noProof/>
                <w:webHidden/>
              </w:rPr>
              <w:fldChar w:fldCharType="separate"/>
            </w:r>
            <w:r w:rsidR="0052389C">
              <w:rPr>
                <w:noProof/>
                <w:webHidden/>
              </w:rPr>
              <w:t>25</w:t>
            </w:r>
            <w:r w:rsidR="0052389C">
              <w:rPr>
                <w:noProof/>
                <w:webHidden/>
              </w:rPr>
              <w:fldChar w:fldCharType="end"/>
            </w:r>
          </w:hyperlink>
        </w:p>
        <w:p w14:paraId="496322FB" w14:textId="1EBBC871" w:rsidR="0052389C" w:rsidRDefault="00823884">
          <w:pPr>
            <w:pStyle w:val="TOC2"/>
            <w:rPr>
              <w:rFonts w:eastAsiaTheme="minorEastAsia"/>
              <w:noProof/>
              <w:kern w:val="2"/>
              <w:lang w:val="en-CA" w:eastAsia="en-CA"/>
              <w14:ligatures w14:val="standardContextual"/>
            </w:rPr>
          </w:pPr>
          <w:hyperlink w:anchor="_Toc155193131" w:history="1">
            <w:r w:rsidR="0052389C" w:rsidRPr="00C5392F">
              <w:rPr>
                <w:rStyle w:val="Hyperlink"/>
                <w:noProof/>
              </w:rPr>
              <w:t>4.4 Paramedic Services</w:t>
            </w:r>
            <w:r w:rsidR="0052389C">
              <w:rPr>
                <w:noProof/>
                <w:webHidden/>
              </w:rPr>
              <w:tab/>
            </w:r>
            <w:r w:rsidR="0052389C">
              <w:rPr>
                <w:noProof/>
                <w:webHidden/>
              </w:rPr>
              <w:fldChar w:fldCharType="begin"/>
            </w:r>
            <w:r w:rsidR="0052389C">
              <w:rPr>
                <w:noProof/>
                <w:webHidden/>
              </w:rPr>
              <w:instrText xml:space="preserve"> PAGEREF _Toc155193131 \h </w:instrText>
            </w:r>
            <w:r w:rsidR="0052389C">
              <w:rPr>
                <w:noProof/>
                <w:webHidden/>
              </w:rPr>
            </w:r>
            <w:r w:rsidR="0052389C">
              <w:rPr>
                <w:noProof/>
                <w:webHidden/>
              </w:rPr>
              <w:fldChar w:fldCharType="separate"/>
            </w:r>
            <w:r w:rsidR="0052389C">
              <w:rPr>
                <w:noProof/>
                <w:webHidden/>
              </w:rPr>
              <w:t>25</w:t>
            </w:r>
            <w:r w:rsidR="0052389C">
              <w:rPr>
                <w:noProof/>
                <w:webHidden/>
              </w:rPr>
              <w:fldChar w:fldCharType="end"/>
            </w:r>
          </w:hyperlink>
        </w:p>
        <w:p w14:paraId="49AABDF2" w14:textId="7B41C16F" w:rsidR="005E658A" w:rsidRDefault="005E658A">
          <w:r>
            <w:rPr>
              <w:b/>
              <w:bCs/>
              <w:noProof/>
            </w:rPr>
            <w:fldChar w:fldCharType="end"/>
          </w:r>
        </w:p>
      </w:sdtContent>
    </w:sdt>
    <w:p w14:paraId="3645D84A" w14:textId="77777777" w:rsidR="005E658A" w:rsidRDefault="005E658A">
      <w:r>
        <w:br w:type="page"/>
      </w:r>
    </w:p>
    <w:p w14:paraId="30874D86" w14:textId="77777777" w:rsidR="004A56B2" w:rsidRDefault="00CD620C" w:rsidP="006E7556">
      <w:pPr>
        <w:pStyle w:val="Heading1"/>
        <w:numPr>
          <w:ilvl w:val="0"/>
          <w:numId w:val="1"/>
        </w:numPr>
        <w:ind w:left="360"/>
      </w:pPr>
      <w:bookmarkStart w:id="0" w:name="_Toc155193113"/>
      <w:r>
        <w:lastRenderedPageBreak/>
        <w:t>Purpose</w:t>
      </w:r>
      <w:bookmarkEnd w:id="0"/>
    </w:p>
    <w:p w14:paraId="51B5E1D3" w14:textId="2CEFE647" w:rsidR="005E658A" w:rsidRDefault="00CB4F5C">
      <w:r w:rsidRPr="00CB4F5C">
        <w:t xml:space="preserve">The </w:t>
      </w:r>
      <w:r w:rsidR="00D77610">
        <w:t xml:space="preserve">District of Nipissing Social Services Administration Board (DNSSAB) </w:t>
      </w:r>
      <w:r w:rsidRPr="00CB4F5C">
        <w:t>20</w:t>
      </w:r>
      <w:r w:rsidR="0052260A">
        <w:t>2</w:t>
      </w:r>
      <w:r w:rsidR="005A58F6">
        <w:t>4</w:t>
      </w:r>
      <w:r w:rsidRPr="00CB4F5C">
        <w:t xml:space="preserve"> budget has been developed with an emphasis on stable financial planning and maximizing service delivery. T</w:t>
      </w:r>
      <w:r w:rsidR="00C47032">
        <w:t>his is a prudent financial plan</w:t>
      </w:r>
      <w:r w:rsidR="00B2319A">
        <w:t>,</w:t>
      </w:r>
      <w:r w:rsidRPr="00CB4F5C">
        <w:t xml:space="preserve"> which promotes continued excellence in client service with a continued desire to find efficiencies in service delivery and program planning.</w:t>
      </w:r>
    </w:p>
    <w:p w14:paraId="49A534D1" w14:textId="77777777" w:rsidR="00CB4F5C" w:rsidRDefault="008B76C8" w:rsidP="00CB4F5C">
      <w:pPr>
        <w:pStyle w:val="Heading1"/>
        <w:numPr>
          <w:ilvl w:val="0"/>
          <w:numId w:val="1"/>
        </w:numPr>
        <w:ind w:left="360"/>
      </w:pPr>
      <w:bookmarkStart w:id="1" w:name="_Toc155193114"/>
      <w:r>
        <w:t>Background</w:t>
      </w:r>
      <w:bookmarkEnd w:id="1"/>
    </w:p>
    <w:p w14:paraId="61E8159C" w14:textId="7F4DDAD5" w:rsidR="00354BFE" w:rsidRDefault="00354BFE" w:rsidP="00354BFE">
      <w:r>
        <w:t>The DNSSAB administers and delivers provincially mandated services on behalf of the citizens of the District of Nipissing in an equitable and cost-effective manner. These service</w:t>
      </w:r>
      <w:r w:rsidR="00702C58">
        <w:t>s</w:t>
      </w:r>
      <w:r>
        <w:t xml:space="preserve"> include</w:t>
      </w:r>
      <w:r w:rsidR="00702C58">
        <w:t xml:space="preserve"> delivery of Ontario Works (OW)</w:t>
      </w:r>
      <w:r w:rsidR="00E823FE">
        <w:t xml:space="preserve"> programs</w:t>
      </w:r>
      <w:r w:rsidR="00D3722D">
        <w:t>,</w:t>
      </w:r>
      <w:r w:rsidR="00E823FE">
        <w:t xml:space="preserve"> </w:t>
      </w:r>
      <w:r w:rsidR="00540D4B">
        <w:t>Pa</w:t>
      </w:r>
      <w:r w:rsidR="00C815A4">
        <w:t>ramedic Services</w:t>
      </w:r>
      <w:r w:rsidR="00540D4B">
        <w:t>,</w:t>
      </w:r>
      <w:r w:rsidR="008B0AFE">
        <w:t xml:space="preserve"> </w:t>
      </w:r>
      <w:r w:rsidR="00D3722D">
        <w:t xml:space="preserve">and </w:t>
      </w:r>
      <w:r w:rsidR="00B5560A">
        <w:t xml:space="preserve">the </w:t>
      </w:r>
      <w:r w:rsidR="00D3722D">
        <w:t xml:space="preserve">administration and service system management for </w:t>
      </w:r>
      <w:r w:rsidR="00B5560A">
        <w:t>Childcare</w:t>
      </w:r>
      <w:r w:rsidR="008B0AFE">
        <w:t xml:space="preserve"> and </w:t>
      </w:r>
      <w:proofErr w:type="spellStart"/>
      <w:r w:rsidR="008B0AFE">
        <w:t>EarlyON</w:t>
      </w:r>
      <w:proofErr w:type="spellEnd"/>
      <w:r w:rsidR="008B0AFE">
        <w:t xml:space="preserve"> programs and Social Housing and H</w:t>
      </w:r>
      <w:r w:rsidR="00702C58">
        <w:t>omelessness programs.</w:t>
      </w:r>
    </w:p>
    <w:p w14:paraId="1F91D9CA" w14:textId="77777777" w:rsidR="00702C58" w:rsidRDefault="00702C58" w:rsidP="00354BFE">
      <w:r>
        <w:t>The DNSSAB</w:t>
      </w:r>
      <w:r w:rsidR="00B9530C">
        <w:t>’s</w:t>
      </w:r>
      <w:r>
        <w:t xml:space="preserve"> service area includes:</w:t>
      </w:r>
    </w:p>
    <w:p w14:paraId="395CE53D" w14:textId="77777777" w:rsidR="004818DE" w:rsidRDefault="004818DE" w:rsidP="00702C58">
      <w:pPr>
        <w:pStyle w:val="ListParagraph"/>
        <w:numPr>
          <w:ilvl w:val="0"/>
          <w:numId w:val="3"/>
        </w:numPr>
        <w:sectPr w:rsidR="004818DE" w:rsidSect="009A555B">
          <w:headerReference w:type="default" r:id="rId9"/>
          <w:footerReference w:type="default" r:id="rId10"/>
          <w:pgSz w:w="12240" w:h="15840"/>
          <w:pgMar w:top="1440" w:right="1440" w:bottom="1440" w:left="1440" w:header="288" w:footer="792" w:gutter="0"/>
          <w:pgNumType w:start="0"/>
          <w:cols w:space="720"/>
          <w:titlePg/>
          <w:docGrid w:linePitch="360"/>
        </w:sectPr>
      </w:pPr>
    </w:p>
    <w:p w14:paraId="3BD31A3F" w14:textId="77777777" w:rsidR="00702C58" w:rsidRDefault="00702C58" w:rsidP="00702C58">
      <w:pPr>
        <w:pStyle w:val="ListParagraph"/>
        <w:numPr>
          <w:ilvl w:val="0"/>
          <w:numId w:val="3"/>
        </w:numPr>
      </w:pPr>
      <w:r>
        <w:t>The City of North Bay</w:t>
      </w:r>
    </w:p>
    <w:p w14:paraId="2CA2A87F" w14:textId="77777777" w:rsidR="00702C58" w:rsidRDefault="0020390E" w:rsidP="00702C58">
      <w:pPr>
        <w:pStyle w:val="ListParagraph"/>
        <w:numPr>
          <w:ilvl w:val="0"/>
          <w:numId w:val="3"/>
        </w:numPr>
      </w:pPr>
      <w:r>
        <w:t>Municipality</w:t>
      </w:r>
      <w:r w:rsidR="00702C58">
        <w:t xml:space="preserve"> of West Nipissing</w:t>
      </w:r>
    </w:p>
    <w:p w14:paraId="7726E028" w14:textId="77777777" w:rsidR="00702C58" w:rsidRDefault="0020390E" w:rsidP="00702C58">
      <w:pPr>
        <w:pStyle w:val="ListParagraph"/>
        <w:numPr>
          <w:ilvl w:val="0"/>
          <w:numId w:val="3"/>
        </w:numPr>
      </w:pPr>
      <w:r>
        <w:t>Municipality</w:t>
      </w:r>
      <w:r w:rsidR="00702C58">
        <w:t xml:space="preserve"> of East Ferris</w:t>
      </w:r>
    </w:p>
    <w:p w14:paraId="29725E70" w14:textId="77777777" w:rsidR="00702C58" w:rsidRDefault="00702C58" w:rsidP="00702C58">
      <w:pPr>
        <w:pStyle w:val="ListParagraph"/>
        <w:numPr>
          <w:ilvl w:val="0"/>
          <w:numId w:val="3"/>
        </w:numPr>
      </w:pPr>
      <w:r>
        <w:t>Municipality of Temagami</w:t>
      </w:r>
    </w:p>
    <w:p w14:paraId="239DA490" w14:textId="77777777" w:rsidR="00702C58" w:rsidRDefault="00702C58" w:rsidP="00702C58">
      <w:pPr>
        <w:pStyle w:val="ListParagraph"/>
        <w:numPr>
          <w:ilvl w:val="0"/>
          <w:numId w:val="3"/>
        </w:numPr>
      </w:pPr>
      <w:r>
        <w:t>Township of South Algonquin</w:t>
      </w:r>
    </w:p>
    <w:p w14:paraId="71BEF2CA" w14:textId="77777777" w:rsidR="00702C58" w:rsidRDefault="00702C58" w:rsidP="00702C58">
      <w:pPr>
        <w:pStyle w:val="ListParagraph"/>
        <w:numPr>
          <w:ilvl w:val="0"/>
          <w:numId w:val="3"/>
        </w:numPr>
      </w:pPr>
      <w:r>
        <w:t>Township of Bonfield</w:t>
      </w:r>
    </w:p>
    <w:p w14:paraId="45751E5A" w14:textId="77777777" w:rsidR="004818DE" w:rsidRDefault="0020390E" w:rsidP="004818DE">
      <w:pPr>
        <w:pStyle w:val="ListParagraph"/>
        <w:numPr>
          <w:ilvl w:val="0"/>
          <w:numId w:val="3"/>
        </w:numPr>
      </w:pPr>
      <w:r>
        <w:t>Municipality</w:t>
      </w:r>
      <w:r w:rsidR="00702C58">
        <w:t xml:space="preserve"> of Calvin</w:t>
      </w:r>
    </w:p>
    <w:p w14:paraId="391A3CFC" w14:textId="77777777" w:rsidR="00702C58" w:rsidRDefault="00702C58" w:rsidP="00702C58">
      <w:pPr>
        <w:pStyle w:val="ListParagraph"/>
        <w:numPr>
          <w:ilvl w:val="0"/>
          <w:numId w:val="3"/>
        </w:numPr>
      </w:pPr>
      <w:r>
        <w:t>Township of Papineau-Cameron</w:t>
      </w:r>
    </w:p>
    <w:p w14:paraId="3EA264AA" w14:textId="77777777" w:rsidR="00702C58" w:rsidRDefault="00702C58" w:rsidP="00702C58">
      <w:pPr>
        <w:pStyle w:val="ListParagraph"/>
        <w:numPr>
          <w:ilvl w:val="0"/>
          <w:numId w:val="3"/>
        </w:numPr>
      </w:pPr>
      <w:r>
        <w:t>Town of Mattawa</w:t>
      </w:r>
    </w:p>
    <w:p w14:paraId="76FCB4C8" w14:textId="77777777" w:rsidR="00702C58" w:rsidRDefault="00702C58" w:rsidP="00702C58">
      <w:pPr>
        <w:pStyle w:val="ListParagraph"/>
        <w:numPr>
          <w:ilvl w:val="0"/>
          <w:numId w:val="3"/>
        </w:numPr>
      </w:pPr>
      <w:r>
        <w:t>Township of Chis</w:t>
      </w:r>
      <w:r w:rsidR="00B9530C">
        <w:t>h</w:t>
      </w:r>
      <w:r>
        <w:t>olm</w:t>
      </w:r>
    </w:p>
    <w:p w14:paraId="57B0537E" w14:textId="77777777" w:rsidR="00702C58" w:rsidRDefault="00702C58" w:rsidP="00702C58">
      <w:pPr>
        <w:pStyle w:val="ListParagraph"/>
        <w:numPr>
          <w:ilvl w:val="0"/>
          <w:numId w:val="3"/>
        </w:numPr>
      </w:pPr>
      <w:r>
        <w:t>Township of Mattawan</w:t>
      </w:r>
    </w:p>
    <w:p w14:paraId="227FE5E9" w14:textId="77777777" w:rsidR="002F1345" w:rsidRDefault="00702C58" w:rsidP="002F1345">
      <w:pPr>
        <w:pStyle w:val="ListParagraph"/>
        <w:numPr>
          <w:ilvl w:val="0"/>
          <w:numId w:val="3"/>
        </w:numPr>
      </w:pPr>
      <w:r>
        <w:t xml:space="preserve">Territories without municipal </w:t>
      </w:r>
      <w:r w:rsidR="002F1345">
        <w:t>organization (TWOMO)</w:t>
      </w:r>
    </w:p>
    <w:p w14:paraId="1FA3ED05" w14:textId="77777777" w:rsidR="004818DE" w:rsidRDefault="002F1345" w:rsidP="00354BFE">
      <w:pPr>
        <w:pStyle w:val="ListParagraph"/>
        <w:numPr>
          <w:ilvl w:val="0"/>
          <w:numId w:val="3"/>
        </w:numPr>
      </w:pPr>
      <w:r>
        <w:t>Nipissing and Temagami First Nations</w:t>
      </w:r>
    </w:p>
    <w:p w14:paraId="6EC89654" w14:textId="77777777" w:rsidR="004818DE" w:rsidRDefault="004818DE" w:rsidP="00354BFE">
      <w:pPr>
        <w:sectPr w:rsidR="004818DE" w:rsidSect="004818DE">
          <w:type w:val="continuous"/>
          <w:pgSz w:w="12240" w:h="15840"/>
          <w:pgMar w:top="1440" w:right="1440" w:bottom="1440" w:left="1440" w:header="144" w:footer="720" w:gutter="0"/>
          <w:pgNumType w:start="0"/>
          <w:cols w:num="2" w:space="720"/>
          <w:titlePg/>
          <w:docGrid w:linePitch="360"/>
        </w:sectPr>
      </w:pPr>
    </w:p>
    <w:p w14:paraId="203C1997" w14:textId="77777777" w:rsidR="00702C58" w:rsidRDefault="00702C58" w:rsidP="004818DE">
      <w:pPr>
        <w:jc w:val="center"/>
      </w:pPr>
      <w:r>
        <w:rPr>
          <w:noProof/>
          <w:lang w:val="en-CA" w:eastAsia="en-CA"/>
        </w:rPr>
        <w:drawing>
          <wp:inline distT="0" distB="0" distL="0" distR="0" wp14:anchorId="1E7ACFF1" wp14:editId="061088DB">
            <wp:extent cx="5105033" cy="36048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33286" cy="3624796"/>
                    </a:xfrm>
                    <a:prstGeom prst="rect">
                      <a:avLst/>
                    </a:prstGeom>
                  </pic:spPr>
                </pic:pic>
              </a:graphicData>
            </a:graphic>
          </wp:inline>
        </w:drawing>
      </w:r>
    </w:p>
    <w:p w14:paraId="3CAE801C" w14:textId="77777777" w:rsidR="00354BFE" w:rsidRPr="00354BFE" w:rsidRDefault="000F4FDF" w:rsidP="00216EF2">
      <w:pPr>
        <w:pStyle w:val="Heading2"/>
      </w:pPr>
      <w:bookmarkStart w:id="2" w:name="_Toc155193115"/>
      <w:r>
        <w:lastRenderedPageBreak/>
        <w:t xml:space="preserve">2.1 </w:t>
      </w:r>
      <w:r w:rsidR="00354BFE">
        <w:t>Cost Pressures</w:t>
      </w:r>
      <w:bookmarkEnd w:id="2"/>
    </w:p>
    <w:p w14:paraId="7191C05F" w14:textId="59D09C28" w:rsidR="00DC5712" w:rsidRDefault="00C029D5" w:rsidP="00CF0F04">
      <w:r w:rsidRPr="000C064D">
        <w:t>In September</w:t>
      </w:r>
      <w:r w:rsidR="00D3722D">
        <w:t xml:space="preserve"> 202</w:t>
      </w:r>
      <w:r w:rsidR="005C27FC">
        <w:t>3</w:t>
      </w:r>
      <w:r w:rsidRPr="000C064D">
        <w:t>,</w:t>
      </w:r>
      <w:r>
        <w:t xml:space="preserve"> the 202</w:t>
      </w:r>
      <w:r w:rsidR="005C27FC">
        <w:t>4</w:t>
      </w:r>
      <w:r>
        <w:t xml:space="preserve"> </w:t>
      </w:r>
      <w:r w:rsidR="00CB4F5C">
        <w:t>Budget Issues Report</w:t>
      </w:r>
      <w:r w:rsidR="00277FDB" w:rsidRPr="00277FDB">
        <w:t>, #CORP-2023-034,</w:t>
      </w:r>
      <w:r w:rsidR="00CB4F5C">
        <w:t xml:space="preserve"> was presented to the</w:t>
      </w:r>
      <w:r w:rsidR="00720982">
        <w:t xml:space="preserve"> </w:t>
      </w:r>
      <w:r w:rsidR="00A33E38">
        <w:t>Board, which</w:t>
      </w:r>
      <w:r w:rsidR="00CB4F5C">
        <w:t xml:space="preserve"> detailed the </w:t>
      </w:r>
      <w:r w:rsidR="00D9484B">
        <w:t>expected</w:t>
      </w:r>
      <w:r w:rsidR="00C47032">
        <w:t xml:space="preserve"> budget pressures</w:t>
      </w:r>
      <w:r w:rsidR="00D9484B">
        <w:t xml:space="preserve"> for 202</w:t>
      </w:r>
      <w:r w:rsidR="005C27FC">
        <w:t>4</w:t>
      </w:r>
      <w:r w:rsidR="00CB4F5C">
        <w:t>.</w:t>
      </w:r>
      <w:r w:rsidR="0036294E">
        <w:t xml:space="preserve"> </w:t>
      </w:r>
      <w:r w:rsidR="001E6559">
        <w:t>Within the Budget Issues Report</w:t>
      </w:r>
      <w:r w:rsidR="00C47032">
        <w:t>,</w:t>
      </w:r>
      <w:r w:rsidR="001E6559">
        <w:t xml:space="preserve"> </w:t>
      </w:r>
      <w:r w:rsidR="006502B1">
        <w:t>it was noted that the Paramedic Services budget was expected to see significant pressures due to inflation, collective bargaining, and current costs being higher than expected.</w:t>
      </w:r>
      <w:r w:rsidR="00A212E6">
        <w:t xml:space="preserve"> </w:t>
      </w:r>
      <w:r w:rsidR="00A212E6" w:rsidRPr="00EE665A">
        <w:t>Per page 1</w:t>
      </w:r>
      <w:r w:rsidR="00EE665A">
        <w:t>6</w:t>
      </w:r>
      <w:r w:rsidR="00A212E6" w:rsidRPr="00EE665A">
        <w:t xml:space="preserve">, there is </w:t>
      </w:r>
      <w:r w:rsidR="00EE665A" w:rsidRPr="00EE665A">
        <w:t>an 11.9</w:t>
      </w:r>
      <w:r w:rsidR="00A212E6" w:rsidRPr="00EE665A">
        <w:t xml:space="preserve">% </w:t>
      </w:r>
      <w:r w:rsidR="007055D6" w:rsidRPr="00EE665A">
        <w:t>year</w:t>
      </w:r>
      <w:r w:rsidR="007055D6">
        <w:t>-over-year</w:t>
      </w:r>
      <w:r w:rsidR="00A212E6">
        <w:t xml:space="preserve"> increase to the Paramedic Services budget.</w:t>
      </w:r>
    </w:p>
    <w:p w14:paraId="7F8DEFE6" w14:textId="0F3EFA16" w:rsidR="00D77610" w:rsidRDefault="00002F41">
      <w:r>
        <w:t xml:space="preserve">Here are the highlights of the </w:t>
      </w:r>
      <w:r w:rsidR="00A212E6">
        <w:t xml:space="preserve">other </w:t>
      </w:r>
      <w:r>
        <w:t>budget pressures</w:t>
      </w:r>
      <w:r w:rsidR="00903175">
        <w:t xml:space="preserve"> for 202</w:t>
      </w:r>
      <w:r w:rsidR="00A212E6">
        <w:t>4</w:t>
      </w:r>
      <w:r w:rsidR="00345290">
        <w:t>:</w:t>
      </w:r>
    </w:p>
    <w:p w14:paraId="0FB373C4" w14:textId="28CC58A8" w:rsidR="00BF003B" w:rsidRPr="00764FC8" w:rsidRDefault="00BF003B" w:rsidP="00BF003B">
      <w:pPr>
        <w:pStyle w:val="ListParagraph"/>
        <w:numPr>
          <w:ilvl w:val="0"/>
          <w:numId w:val="2"/>
        </w:numPr>
      </w:pPr>
      <w:r w:rsidRPr="00764FC8">
        <w:t>Inflationary incre</w:t>
      </w:r>
      <w:r w:rsidR="00811009">
        <w:t xml:space="preserve">ase to most goods and services as inflation continues to be very high. </w:t>
      </w:r>
      <w:r w:rsidR="00A212E6">
        <w:t>Canada</w:t>
      </w:r>
      <w:r w:rsidRPr="00764FC8">
        <w:t>’s inflation rate is expect</w:t>
      </w:r>
      <w:r w:rsidR="00E15F2F" w:rsidRPr="00764FC8">
        <w:t xml:space="preserve">ed to be </w:t>
      </w:r>
      <w:r w:rsidR="009C48CA">
        <w:t xml:space="preserve">approximately </w:t>
      </w:r>
      <w:r w:rsidR="00811009" w:rsidRPr="00811009">
        <w:t>3.</w:t>
      </w:r>
      <w:r w:rsidR="00A212E6">
        <w:t>5</w:t>
      </w:r>
      <w:r w:rsidR="00E15F2F" w:rsidRPr="00811009">
        <w:t xml:space="preserve">% </w:t>
      </w:r>
      <w:r w:rsidR="00A212E6">
        <w:t>until the middle of 2024</w:t>
      </w:r>
      <w:r w:rsidRPr="00764FC8">
        <w:t>.</w:t>
      </w:r>
      <w:r w:rsidRPr="00764FC8">
        <w:rPr>
          <w:rStyle w:val="FootnoteReference"/>
        </w:rPr>
        <w:footnoteReference w:id="1"/>
      </w:r>
      <w:r w:rsidR="007055D6">
        <w:t xml:space="preserve"> </w:t>
      </w:r>
      <w:r w:rsidR="007055D6" w:rsidRPr="007055D6">
        <w:t>The high levels of inflation will continue to have a direct impact on the DNSSAB budget.</w:t>
      </w:r>
    </w:p>
    <w:p w14:paraId="03394045" w14:textId="496F4960" w:rsidR="00345290" w:rsidRPr="005077EF" w:rsidRDefault="00720982" w:rsidP="00345290">
      <w:pPr>
        <w:pStyle w:val="ListParagraph"/>
        <w:numPr>
          <w:ilvl w:val="0"/>
          <w:numId w:val="2"/>
        </w:numPr>
      </w:pPr>
      <w:r>
        <w:t>Collective bargaining increases.</w:t>
      </w:r>
      <w:r w:rsidR="007055D6">
        <w:t xml:space="preserve"> </w:t>
      </w:r>
      <w:r w:rsidR="007055D6" w:rsidRPr="007055D6">
        <w:t>The Canadian Union of Public Employees (CUPE) Local 4720-02 (NDHC staff) collective agreement expires December 31, 2023, and Local 4720-01 (non-paramedic DNSSAB staff) collective agreement also expires January 31, 2024. Therefore, with new collective agreements needed</w:t>
      </w:r>
      <w:r w:rsidR="007055D6" w:rsidRPr="005077EF">
        <w:t>, annual payroll increases are estimated for the 2024 budget.</w:t>
      </w:r>
    </w:p>
    <w:p w14:paraId="4E83A201" w14:textId="363E556D" w:rsidR="00A212E6" w:rsidRPr="005077EF" w:rsidRDefault="007B6D0A" w:rsidP="00345290">
      <w:pPr>
        <w:pStyle w:val="ListParagraph"/>
        <w:numPr>
          <w:ilvl w:val="0"/>
          <w:numId w:val="2"/>
        </w:numPr>
      </w:pPr>
      <w:r w:rsidRPr="005077EF">
        <w:t>Increased ambulance call volumes</w:t>
      </w:r>
      <w:r w:rsidR="00320D9F" w:rsidRPr="00320D9F">
        <w:t xml:space="preserve"> </w:t>
      </w:r>
      <w:r w:rsidR="00320D9F">
        <w:t xml:space="preserve">which </w:t>
      </w:r>
      <w:proofErr w:type="gramStart"/>
      <w:r w:rsidR="00320D9F">
        <w:t>has</w:t>
      </w:r>
      <w:proofErr w:type="gramEnd"/>
      <w:r w:rsidR="00320D9F">
        <w:t xml:space="preserve"> led to increased paramedic deployment</w:t>
      </w:r>
      <w:r w:rsidRPr="005077EF">
        <w:t>.</w:t>
      </w:r>
    </w:p>
    <w:p w14:paraId="01DC6EFF" w14:textId="64D8E7A1" w:rsidR="00A212E6" w:rsidRDefault="00A212E6" w:rsidP="00A212E6">
      <w:pPr>
        <w:pStyle w:val="ListParagraph"/>
        <w:numPr>
          <w:ilvl w:val="0"/>
          <w:numId w:val="2"/>
        </w:numPr>
      </w:pPr>
      <w:r>
        <w:t>Continued significant demand for homelessness services and supports.</w:t>
      </w:r>
    </w:p>
    <w:p w14:paraId="0769D351" w14:textId="7B1DA7AE" w:rsidR="00A212E6" w:rsidRDefault="007055D6" w:rsidP="007055D6">
      <w:r>
        <w:t>The 2024 budget does not anticipate any significant provincial or federal funding changes. However, it should be noted that some funding allocations, such as the land ambulance service grant, are not confirmed until well after the budget is prepared and approved. For these programs, provincial/federal funding included in the 2024 budget is estimated based on previous</w:t>
      </w:r>
      <w:r w:rsidR="005F0299">
        <w:t xml:space="preserve"> year</w:t>
      </w:r>
      <w:r>
        <w:t xml:space="preserve"> funding</w:t>
      </w:r>
      <w:r w:rsidR="005F0299">
        <w:t xml:space="preserve"> allocations</w:t>
      </w:r>
      <w:r w:rsidR="00F86C30">
        <w:t xml:space="preserve"> and trends</w:t>
      </w:r>
      <w:r>
        <w:t>.</w:t>
      </w:r>
    </w:p>
    <w:p w14:paraId="2B4DDF95" w14:textId="7789D320" w:rsidR="009B619B" w:rsidRDefault="008B76C8">
      <w:r>
        <w:t>Specific departmental cost pressures and provincial funding changes will be examined further in each respective department section.</w:t>
      </w:r>
    </w:p>
    <w:p w14:paraId="77658FF7" w14:textId="71D512B1" w:rsidR="007055D6" w:rsidRDefault="007055D6">
      <w:r>
        <w:br w:type="page"/>
      </w:r>
    </w:p>
    <w:p w14:paraId="5782C739" w14:textId="77777777" w:rsidR="003C5FAC" w:rsidRDefault="003C5FAC" w:rsidP="003C5FAC">
      <w:pPr>
        <w:pStyle w:val="Heading1"/>
        <w:numPr>
          <w:ilvl w:val="0"/>
          <w:numId w:val="1"/>
        </w:numPr>
        <w:ind w:left="360"/>
      </w:pPr>
      <w:bookmarkStart w:id="3" w:name="_Toc155193116"/>
      <w:r>
        <w:lastRenderedPageBreak/>
        <w:t>Report</w:t>
      </w:r>
      <w:bookmarkEnd w:id="3"/>
    </w:p>
    <w:p w14:paraId="4F21AE7F" w14:textId="77777777" w:rsidR="003C5FAC" w:rsidRPr="002B1A5B" w:rsidRDefault="003C5FAC" w:rsidP="003C5FAC">
      <w:pPr>
        <w:pStyle w:val="Heading2"/>
      </w:pPr>
      <w:bookmarkStart w:id="4" w:name="_Toc155193117"/>
      <w:r w:rsidRPr="002B1A5B">
        <w:t>3.1 Budget Overview</w:t>
      </w:r>
      <w:bookmarkEnd w:id="4"/>
    </w:p>
    <w:p w14:paraId="5A302157" w14:textId="7D94D245" w:rsidR="003C5FAC" w:rsidRDefault="007F10E8" w:rsidP="003C5FAC">
      <w:r>
        <w:t>The</w:t>
      </w:r>
      <w:r w:rsidR="00D36346">
        <w:t xml:space="preserve"> 202</w:t>
      </w:r>
      <w:r w:rsidR="00290DEA">
        <w:t>4</w:t>
      </w:r>
      <w:r w:rsidR="00D36346">
        <w:t xml:space="preserve"> budget </w:t>
      </w:r>
      <w:r>
        <w:t>presents</w:t>
      </w:r>
      <w:r w:rsidR="00D36346">
        <w:t xml:space="preserve"> </w:t>
      </w:r>
      <w:r w:rsidR="00DD0453">
        <w:t>a</w:t>
      </w:r>
      <w:r w:rsidR="00D36346">
        <w:t xml:space="preserve"> </w:t>
      </w:r>
      <w:r w:rsidR="008E06D6">
        <w:t xml:space="preserve">municipal </w:t>
      </w:r>
      <w:r w:rsidR="00D36346">
        <w:t xml:space="preserve">levy increase of </w:t>
      </w:r>
      <w:r w:rsidR="00DD0453">
        <w:t>$</w:t>
      </w:r>
      <w:r w:rsidR="00823884">
        <w:t>674</w:t>
      </w:r>
      <w:r w:rsidR="00463AE7">
        <w:t>,772</w:t>
      </w:r>
      <w:r w:rsidR="00DD0453">
        <w:t xml:space="preserve"> (</w:t>
      </w:r>
      <w:r w:rsidR="00823884">
        <w:t>2.99</w:t>
      </w:r>
      <w:r w:rsidR="00D36346" w:rsidRPr="007F10E8">
        <w:t>%</w:t>
      </w:r>
      <w:r w:rsidR="00DD0453">
        <w:t>)</w:t>
      </w:r>
      <w:r w:rsidR="00D36346">
        <w:t xml:space="preserve"> </w:t>
      </w:r>
      <w:r>
        <w:t>with</w:t>
      </w:r>
      <w:r w:rsidR="00D36346">
        <w:t xml:space="preserve"> an overall </w:t>
      </w:r>
      <w:r w:rsidR="00A655D3">
        <w:t>increase</w:t>
      </w:r>
      <w:r w:rsidR="00F420E3">
        <w:t xml:space="preserve"> </w:t>
      </w:r>
      <w:r w:rsidR="00D36346">
        <w:t>in the budget</w:t>
      </w:r>
      <w:r w:rsidR="00EF228C">
        <w:t xml:space="preserve"> of </w:t>
      </w:r>
      <w:r w:rsidR="00821AED">
        <w:t>$</w:t>
      </w:r>
      <w:r w:rsidR="00463AE7">
        <w:t>4,542,700</w:t>
      </w:r>
      <w:r w:rsidR="00D36346">
        <w:t xml:space="preserve"> from $</w:t>
      </w:r>
      <w:r w:rsidR="008019C4">
        <w:t>90,232,483</w:t>
      </w:r>
      <w:r w:rsidR="000D6DBD">
        <w:t xml:space="preserve"> </w:t>
      </w:r>
      <w:r>
        <w:t>in 202</w:t>
      </w:r>
      <w:r w:rsidR="008019C4">
        <w:t>3</w:t>
      </w:r>
      <w:r>
        <w:t xml:space="preserve"> </w:t>
      </w:r>
      <w:r w:rsidR="00D36346">
        <w:t xml:space="preserve">to </w:t>
      </w:r>
      <w:r w:rsidR="00821AED">
        <w:t>$</w:t>
      </w:r>
      <w:r w:rsidR="008019C4">
        <w:t>9</w:t>
      </w:r>
      <w:r w:rsidR="00463AE7">
        <w:t xml:space="preserve">4,775,183 </w:t>
      </w:r>
      <w:r w:rsidR="00D36346">
        <w:t>in 202</w:t>
      </w:r>
      <w:r w:rsidR="008019C4">
        <w:t>4</w:t>
      </w:r>
      <w:r w:rsidR="00D36346">
        <w:t>.</w:t>
      </w:r>
      <w:r w:rsidR="00EC34FF">
        <w:t xml:space="preserve"> </w:t>
      </w:r>
    </w:p>
    <w:p w14:paraId="037BF355" w14:textId="37157C0B" w:rsidR="00D36346" w:rsidRDefault="00823884" w:rsidP="00D36346">
      <w:pPr>
        <w:ind w:left="-720"/>
      </w:pPr>
      <w:r w:rsidRPr="00823884">
        <w:drawing>
          <wp:inline distT="0" distB="0" distL="0" distR="0" wp14:anchorId="17EAB877" wp14:editId="76A94CB6">
            <wp:extent cx="6869020" cy="3705308"/>
            <wp:effectExtent l="0" t="0" r="8255" b="0"/>
            <wp:docPr id="180446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7062" cy="3715040"/>
                    </a:xfrm>
                    <a:prstGeom prst="rect">
                      <a:avLst/>
                    </a:prstGeom>
                    <a:noFill/>
                    <a:ln>
                      <a:noFill/>
                    </a:ln>
                  </pic:spPr>
                </pic:pic>
              </a:graphicData>
            </a:graphic>
          </wp:inline>
        </w:drawing>
      </w:r>
    </w:p>
    <w:p w14:paraId="4532A67F" w14:textId="1F5706BD" w:rsidR="00F04E06" w:rsidRDefault="00B30CCB" w:rsidP="006E7D33">
      <w:bookmarkStart w:id="5" w:name="_Hlk152181972"/>
      <w:r>
        <w:t>The budget maintains</w:t>
      </w:r>
      <w:r w:rsidR="00707BED">
        <w:t xml:space="preserve"> services at the 202</w:t>
      </w:r>
      <w:r w:rsidR="00290DEA">
        <w:t>3</w:t>
      </w:r>
      <w:r w:rsidR="00707BED">
        <w:t xml:space="preserve"> level </w:t>
      </w:r>
      <w:r w:rsidR="002457C3">
        <w:t>while including any</w:t>
      </w:r>
      <w:r>
        <w:t xml:space="preserve"> service </w:t>
      </w:r>
      <w:r w:rsidR="002457C3">
        <w:t>changes</w:t>
      </w:r>
      <w:r>
        <w:t xml:space="preserve"> that the Board approved in </w:t>
      </w:r>
      <w:r w:rsidR="00456905">
        <w:t>202</w:t>
      </w:r>
      <w:r w:rsidR="00290DEA">
        <w:t>3</w:t>
      </w:r>
      <w:r w:rsidR="00707BED">
        <w:t>. Here are some highlights of the significant changes from the 202</w:t>
      </w:r>
      <w:r w:rsidR="00290DEA">
        <w:t>3</w:t>
      </w:r>
      <w:r w:rsidR="00707BED">
        <w:t xml:space="preserve"> budget:</w:t>
      </w:r>
    </w:p>
    <w:p w14:paraId="2B92C67E" w14:textId="37980B58" w:rsidR="000D6DBD" w:rsidRDefault="00246140" w:rsidP="00312FF3">
      <w:pPr>
        <w:pStyle w:val="ListParagraph"/>
        <w:numPr>
          <w:ilvl w:val="0"/>
          <w:numId w:val="5"/>
        </w:numPr>
      </w:pPr>
      <w:r>
        <w:t xml:space="preserve">The </w:t>
      </w:r>
      <w:r w:rsidR="00290DEA">
        <w:t>Homelessness Prevention Program funding increase</w:t>
      </w:r>
      <w:r w:rsidR="00FC6673">
        <w:t>d</w:t>
      </w:r>
      <w:r w:rsidR="00290DEA">
        <w:t xml:space="preserve"> from </w:t>
      </w:r>
      <w:r w:rsidR="00290DEA" w:rsidRPr="00290DEA">
        <w:t>$2,339,100 to $5,303,700</w:t>
      </w:r>
      <w:r w:rsidR="00290DEA">
        <w:t xml:space="preserve"> has </w:t>
      </w:r>
      <w:r>
        <w:t>eased</w:t>
      </w:r>
      <w:r w:rsidR="00290DEA">
        <w:t xml:space="preserve"> pressure on the levy in the Housing Services budget.</w:t>
      </w:r>
    </w:p>
    <w:p w14:paraId="2B061F1F" w14:textId="6D333017" w:rsidR="007C1CB9" w:rsidRDefault="00290DEA" w:rsidP="000D6DBD">
      <w:pPr>
        <w:pStyle w:val="ListParagraph"/>
        <w:numPr>
          <w:ilvl w:val="0"/>
          <w:numId w:val="5"/>
        </w:numPr>
      </w:pPr>
      <w:r>
        <w:t xml:space="preserve">As noted previously, there are significant increases to the Paramedic Services budget due to inflation, collective </w:t>
      </w:r>
      <w:r w:rsidR="008019C4">
        <w:t>bargaining,</w:t>
      </w:r>
      <w:r>
        <w:t xml:space="preserve"> </w:t>
      </w:r>
      <w:r w:rsidRPr="00F66746">
        <w:t>and increased call volumes</w:t>
      </w:r>
      <w:r w:rsidR="00320D9F">
        <w:t xml:space="preserve"> which has led to increased paramedic deployment</w:t>
      </w:r>
      <w:r>
        <w:t>.</w:t>
      </w:r>
    </w:p>
    <w:p w14:paraId="698F02BA" w14:textId="37892149" w:rsidR="00C7309D" w:rsidRDefault="00C7309D" w:rsidP="000D6DBD">
      <w:pPr>
        <w:pStyle w:val="ListParagraph"/>
        <w:numPr>
          <w:ilvl w:val="0"/>
          <w:numId w:val="5"/>
        </w:numPr>
      </w:pPr>
      <w:r w:rsidRPr="00C7309D">
        <w:t>The budget includes the use of $</w:t>
      </w:r>
      <w:r w:rsidR="00823884">
        <w:t>934</w:t>
      </w:r>
      <w:r w:rsidRPr="00C7309D">
        <w:t>,000 in reserves to offset the impact on the municipal levy from the</w:t>
      </w:r>
      <w:r>
        <w:t xml:space="preserve"> Paramedic Services</w:t>
      </w:r>
      <w:r w:rsidRPr="00C7309D">
        <w:t xml:space="preserve"> deployment changes.</w:t>
      </w:r>
    </w:p>
    <w:bookmarkEnd w:id="5"/>
    <w:p w14:paraId="7567512B" w14:textId="4BCAE5D1" w:rsidR="00F04E06" w:rsidRPr="001E3C24" w:rsidRDefault="001E3C24">
      <w:r>
        <w:t xml:space="preserve">Additional details will be </w:t>
      </w:r>
      <w:r w:rsidR="00896487">
        <w:t>reviewed</w:t>
      </w:r>
      <w:r>
        <w:t xml:space="preserve"> in further detail throughout the report.</w:t>
      </w:r>
    </w:p>
    <w:p w14:paraId="5493A3B4" w14:textId="77777777" w:rsidR="00A57B1F" w:rsidRDefault="00A57B1F">
      <w:pPr>
        <w:rPr>
          <w:rFonts w:asciiTheme="majorHAnsi" w:eastAsiaTheme="majorEastAsia" w:hAnsiTheme="majorHAnsi" w:cstheme="majorBidi"/>
          <w:b/>
          <w:bCs/>
          <w:color w:val="4F81BD" w:themeColor="accent1"/>
          <w:sz w:val="26"/>
          <w:szCs w:val="26"/>
        </w:rPr>
      </w:pPr>
      <w:r>
        <w:br w:type="page"/>
      </w:r>
    </w:p>
    <w:p w14:paraId="75367990" w14:textId="53E05670" w:rsidR="003C5FAC" w:rsidRPr="002B1A5B" w:rsidRDefault="003C5FAC" w:rsidP="003C5FAC">
      <w:pPr>
        <w:pStyle w:val="Heading2"/>
      </w:pPr>
      <w:bookmarkStart w:id="6" w:name="_Toc155193118"/>
      <w:r w:rsidRPr="002B1A5B">
        <w:lastRenderedPageBreak/>
        <w:t>3.</w:t>
      </w:r>
      <w:r w:rsidR="00281C0F">
        <w:t>2</w:t>
      </w:r>
      <w:r w:rsidRPr="002B1A5B">
        <w:t xml:space="preserve"> </w:t>
      </w:r>
      <w:r w:rsidR="008842FA" w:rsidRPr="002B1A5B">
        <w:t>Ontario Works</w:t>
      </w:r>
      <w:bookmarkEnd w:id="6"/>
    </w:p>
    <w:p w14:paraId="45E26F71" w14:textId="385DB690" w:rsidR="003C5FAC" w:rsidRDefault="00F53FF4" w:rsidP="00B9199F">
      <w:pPr>
        <w:jc w:val="center"/>
      </w:pPr>
      <w:r>
        <w:rPr>
          <w:noProof/>
        </w:rPr>
        <w:drawing>
          <wp:inline distT="0" distB="0" distL="0" distR="0" wp14:anchorId="0D81AF7A" wp14:editId="3D6C749D">
            <wp:extent cx="5566410" cy="3450590"/>
            <wp:effectExtent l="133350" t="114300" r="148590" b="168910"/>
            <wp:docPr id="1711599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410" cy="34505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DA0BB5" w14:textId="77777777" w:rsidR="00257B2C" w:rsidRDefault="00257B2C" w:rsidP="003C5FAC"/>
    <w:p w14:paraId="39FFE76F" w14:textId="0A870360" w:rsidR="00B562A3" w:rsidRDefault="00756950" w:rsidP="00B562A3">
      <w:pPr>
        <w:ind w:left="-720"/>
      </w:pPr>
      <w:r w:rsidRPr="00756950">
        <w:rPr>
          <w:noProof/>
        </w:rPr>
        <w:drawing>
          <wp:inline distT="0" distB="0" distL="0" distR="0" wp14:anchorId="656170FF" wp14:editId="70A56CA6">
            <wp:extent cx="6785064" cy="1602029"/>
            <wp:effectExtent l="0" t="0" r="0" b="0"/>
            <wp:docPr id="670748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01253" cy="1605851"/>
                    </a:xfrm>
                    <a:prstGeom prst="rect">
                      <a:avLst/>
                    </a:prstGeom>
                    <a:noFill/>
                    <a:ln>
                      <a:noFill/>
                    </a:ln>
                  </pic:spPr>
                </pic:pic>
              </a:graphicData>
            </a:graphic>
          </wp:inline>
        </w:drawing>
      </w:r>
    </w:p>
    <w:p w14:paraId="295E6E82" w14:textId="77777777" w:rsidR="00257B2C" w:rsidRDefault="00257B2C" w:rsidP="00257B2C">
      <w:pPr>
        <w:pStyle w:val="ListParagraph"/>
      </w:pPr>
    </w:p>
    <w:p w14:paraId="26C23B42" w14:textId="7F5F6FD1" w:rsidR="002D6FB4" w:rsidRDefault="002D6FB4" w:rsidP="00CF28DA">
      <w:pPr>
        <w:pStyle w:val="ListParagraph"/>
        <w:numPr>
          <w:ilvl w:val="0"/>
          <w:numId w:val="7"/>
        </w:numPr>
      </w:pPr>
      <w:r>
        <w:t>In 202</w:t>
      </w:r>
      <w:r w:rsidR="00B17BCC">
        <w:t>4</w:t>
      </w:r>
      <w:r>
        <w:t xml:space="preserve">, the Ontario Works budget has </w:t>
      </w:r>
      <w:r w:rsidR="00F53FF4">
        <w:t>in</w:t>
      </w:r>
      <w:r>
        <w:t>creased year over year by $</w:t>
      </w:r>
      <w:r w:rsidR="00F53FF4">
        <w:t>93,843</w:t>
      </w:r>
      <w:r>
        <w:t xml:space="preserve"> or </w:t>
      </w:r>
      <w:r w:rsidR="00F53FF4">
        <w:t>0.04</w:t>
      </w:r>
      <w:r w:rsidR="00CE7A99">
        <w:t xml:space="preserve">% with </w:t>
      </w:r>
      <w:r w:rsidR="00F53FF4">
        <w:t xml:space="preserve">no change </w:t>
      </w:r>
      <w:r w:rsidR="00CE7A99">
        <w:t>in the municipal share.</w:t>
      </w:r>
    </w:p>
    <w:p w14:paraId="04681824" w14:textId="77777777" w:rsidR="00257B2C" w:rsidRDefault="00257B2C">
      <w:pPr>
        <w:rPr>
          <w:rFonts w:asciiTheme="majorHAnsi" w:eastAsiaTheme="majorEastAsia" w:hAnsiTheme="majorHAnsi" w:cstheme="majorBidi"/>
          <w:b/>
          <w:bCs/>
          <w:i/>
          <w:iCs/>
          <w:color w:val="4F81BD" w:themeColor="accent1"/>
        </w:rPr>
      </w:pPr>
      <w:r>
        <w:br w:type="page"/>
      </w:r>
    </w:p>
    <w:p w14:paraId="563CE8F0" w14:textId="0377DFD8" w:rsidR="0047275A" w:rsidRPr="0047275A" w:rsidRDefault="00B562A3" w:rsidP="00967269">
      <w:pPr>
        <w:pStyle w:val="Heading4"/>
        <w:spacing w:after="100" w:afterAutospacing="1"/>
      </w:pPr>
      <w:r>
        <w:lastRenderedPageBreak/>
        <w:t>3.</w:t>
      </w:r>
      <w:r w:rsidR="00281C0F">
        <w:t>2</w:t>
      </w:r>
      <w:r>
        <w:t>.1 OW Provincial Funding Impact</w:t>
      </w:r>
    </w:p>
    <w:p w14:paraId="7D35EBB7" w14:textId="7FCD5FF2" w:rsidR="00F708DD" w:rsidRDefault="00C74C2E" w:rsidP="00C74C2E">
      <w:pPr>
        <w:pStyle w:val="ListParagraph"/>
        <w:numPr>
          <w:ilvl w:val="0"/>
          <w:numId w:val="7"/>
        </w:numPr>
      </w:pPr>
      <w:r>
        <w:t>On</w:t>
      </w:r>
      <w:r w:rsidRPr="00C74C2E">
        <w:t xml:space="preserve"> </w:t>
      </w:r>
      <w:r w:rsidR="00967269">
        <w:t>August 24, 2023</w:t>
      </w:r>
      <w:r w:rsidRPr="00C74C2E">
        <w:t xml:space="preserve">, the Ministry of Children, Community and Social Services (MCCSS) </w:t>
      </w:r>
      <w:r w:rsidR="00967269">
        <w:t>confirmed</w:t>
      </w:r>
      <w:r w:rsidRPr="00C74C2E">
        <w:t xml:space="preserve"> </w:t>
      </w:r>
      <w:r>
        <w:t>that the 202</w:t>
      </w:r>
      <w:r w:rsidR="00967269">
        <w:t>4</w:t>
      </w:r>
      <w:r>
        <w:t xml:space="preserve"> Ontario Works</w:t>
      </w:r>
      <w:r w:rsidRPr="00C74C2E">
        <w:t xml:space="preserve"> program delivery</w:t>
      </w:r>
      <w:r>
        <w:t xml:space="preserve"> and employment</w:t>
      </w:r>
      <w:r w:rsidRPr="00C74C2E">
        <w:t xml:space="preserve"> funding allocations </w:t>
      </w:r>
      <w:r w:rsidR="00437287" w:rsidRPr="00C74C2E">
        <w:t>would</w:t>
      </w:r>
      <w:r w:rsidRPr="00C74C2E">
        <w:t xml:space="preserve"> be maintained at the 202</w:t>
      </w:r>
      <w:r w:rsidR="00967269">
        <w:t>3</w:t>
      </w:r>
      <w:r w:rsidRPr="00C74C2E">
        <w:t xml:space="preserve"> levels</w:t>
      </w:r>
      <w:r w:rsidR="00967269" w:rsidRPr="00967269">
        <w:t xml:space="preserve"> and that financial recoveries for underachievement of outcomes will be waived for 2023 and 2024 </w:t>
      </w:r>
      <w:r w:rsidR="00967269">
        <w:t>while MCCSS continues to work towards</w:t>
      </w:r>
      <w:r w:rsidR="00967269" w:rsidRPr="00967269">
        <w:t xml:space="preserve"> the employment service transformation.</w:t>
      </w:r>
    </w:p>
    <w:p w14:paraId="3449A376" w14:textId="77777777" w:rsidR="008147B1" w:rsidRDefault="008147B1" w:rsidP="008147B1">
      <w:pPr>
        <w:pStyle w:val="ListParagraph"/>
      </w:pPr>
    </w:p>
    <w:p w14:paraId="57691389" w14:textId="053254DC" w:rsidR="008147B1" w:rsidRDefault="00A05AFF" w:rsidP="008147B1">
      <w:pPr>
        <w:pStyle w:val="ListParagraph"/>
        <w:numPr>
          <w:ilvl w:val="0"/>
          <w:numId w:val="7"/>
        </w:numPr>
      </w:pPr>
      <w:r>
        <w:t xml:space="preserve">Ontario works </w:t>
      </w:r>
      <w:r w:rsidR="00E079F1" w:rsidRPr="00C74C2E">
        <w:t>program delivery</w:t>
      </w:r>
      <w:r w:rsidR="00E079F1">
        <w:t xml:space="preserve"> and employment</w:t>
      </w:r>
      <w:r w:rsidR="00E079F1" w:rsidRPr="00C74C2E">
        <w:t xml:space="preserve"> </w:t>
      </w:r>
      <w:r>
        <w:t>provincial funding</w:t>
      </w:r>
      <w:r w:rsidR="00E079F1">
        <w:t xml:space="preserve"> </w:t>
      </w:r>
      <w:r>
        <w:t xml:space="preserve">has now been frozen for </w:t>
      </w:r>
      <w:r w:rsidR="00967269">
        <w:t>six</w:t>
      </w:r>
      <w:r>
        <w:t xml:space="preserve"> years </w:t>
      </w:r>
      <w:r w:rsidR="008147B1" w:rsidRPr="008147B1">
        <w:t>(2019</w:t>
      </w:r>
      <w:r w:rsidR="00C7372C">
        <w:t xml:space="preserve"> through</w:t>
      </w:r>
      <w:r>
        <w:t xml:space="preserve"> 202</w:t>
      </w:r>
      <w:r w:rsidR="00967269">
        <w:t>4</w:t>
      </w:r>
      <w:r w:rsidR="008147B1" w:rsidRPr="008147B1">
        <w:t xml:space="preserve">) </w:t>
      </w:r>
      <w:proofErr w:type="gramStart"/>
      <w:r w:rsidR="008147B1" w:rsidRPr="008147B1">
        <w:t>at</w:t>
      </w:r>
      <w:proofErr w:type="gramEnd"/>
      <w:r w:rsidR="008147B1" w:rsidRPr="008147B1">
        <w:t xml:space="preserve"> 2018’s actual expenditures.</w:t>
      </w:r>
    </w:p>
    <w:p w14:paraId="68C403D6" w14:textId="77777777" w:rsidR="008147B1" w:rsidRDefault="008147B1" w:rsidP="008147B1">
      <w:pPr>
        <w:pStyle w:val="ListParagraph"/>
      </w:pPr>
    </w:p>
    <w:p w14:paraId="6B84CC63" w14:textId="10693F6D" w:rsidR="00F708DD" w:rsidRDefault="00F708DD" w:rsidP="00A05AFF">
      <w:pPr>
        <w:pStyle w:val="ListParagraph"/>
        <w:numPr>
          <w:ilvl w:val="0"/>
          <w:numId w:val="7"/>
        </w:numPr>
      </w:pPr>
      <w:r>
        <w:t xml:space="preserve">The freezing of provincial funding shifts the inflationary budget pressure solely on to the municipalities. Costs of inflation were previously cost shared 50/50 with </w:t>
      </w:r>
      <w:r w:rsidR="00967269">
        <w:t>MCCSS</w:t>
      </w:r>
      <w:r>
        <w:t xml:space="preserve"> before funding was frozen in 2019.</w:t>
      </w:r>
      <w:r w:rsidR="00A05AFF">
        <w:t xml:space="preserve"> Savings have been identified in recent years to reduce any impact on the levy; however, </w:t>
      </w:r>
      <w:r w:rsidR="00C7372C">
        <w:t>continuous</w:t>
      </w:r>
      <w:r w:rsidR="00A05AFF">
        <w:t xml:space="preserve"> savings</w:t>
      </w:r>
      <w:r w:rsidR="00437287">
        <w:t xml:space="preserve"> </w:t>
      </w:r>
      <w:r w:rsidR="00967269">
        <w:t>to limit increases to the municipal levy will not be possible if MCCSS does not provide inflationary increases to funding.</w:t>
      </w:r>
    </w:p>
    <w:p w14:paraId="54E0401D" w14:textId="4330CC99" w:rsidR="0031340A" w:rsidRDefault="00B562A3" w:rsidP="00967269">
      <w:pPr>
        <w:pStyle w:val="Heading4"/>
        <w:spacing w:before="360" w:after="100" w:afterAutospacing="1"/>
      </w:pPr>
      <w:r>
        <w:t>3.</w:t>
      </w:r>
      <w:r w:rsidR="00281C0F">
        <w:t>2</w:t>
      </w:r>
      <w:r>
        <w:t>.2 OW Programs</w:t>
      </w:r>
    </w:p>
    <w:p w14:paraId="3A0880D6" w14:textId="3BF96CFE" w:rsidR="00777ADB" w:rsidRDefault="00777ADB" w:rsidP="00777ADB">
      <w:pPr>
        <w:pStyle w:val="ListParagraph"/>
        <w:numPr>
          <w:ilvl w:val="0"/>
          <w:numId w:val="8"/>
        </w:numPr>
      </w:pPr>
      <w:r w:rsidRPr="00777ADB">
        <w:t xml:space="preserve">OW financial assistance and mandatory benefits </w:t>
      </w:r>
      <w:r w:rsidR="008147B1">
        <w:t>have been</w:t>
      </w:r>
      <w:r w:rsidRPr="00777ADB">
        <w:t xml:space="preserve"> 100% funded by the </w:t>
      </w:r>
      <w:proofErr w:type="gramStart"/>
      <w:r w:rsidRPr="00777ADB">
        <w:t>Province</w:t>
      </w:r>
      <w:proofErr w:type="gramEnd"/>
      <w:r w:rsidR="008147B1">
        <w:t xml:space="preserve"> since 2018</w:t>
      </w:r>
      <w:r w:rsidRPr="00777ADB">
        <w:t xml:space="preserve">. Discretionary benefits are also provincially </w:t>
      </w:r>
      <w:r w:rsidR="009B2094" w:rsidRPr="00777ADB">
        <w:t>funded but</w:t>
      </w:r>
      <w:r w:rsidRPr="00777ADB">
        <w:t xml:space="preserve"> are capped at $10 per average caseload with any costs exceeding the cap being municipal</w:t>
      </w:r>
      <w:r w:rsidR="005E129B">
        <w:t>ly funded</w:t>
      </w:r>
      <w:r w:rsidRPr="00777ADB">
        <w:t xml:space="preserve">. </w:t>
      </w:r>
    </w:p>
    <w:p w14:paraId="73436596" w14:textId="77777777" w:rsidR="00777ADB" w:rsidRPr="00777ADB" w:rsidRDefault="00777ADB" w:rsidP="00777ADB">
      <w:pPr>
        <w:pStyle w:val="ListParagraph"/>
      </w:pPr>
    </w:p>
    <w:p w14:paraId="7B9D0F25" w14:textId="3710E2D8" w:rsidR="00777ADB" w:rsidRDefault="00777ADB" w:rsidP="00777ADB">
      <w:pPr>
        <w:pStyle w:val="ListParagraph"/>
        <w:numPr>
          <w:ilvl w:val="0"/>
          <w:numId w:val="8"/>
        </w:numPr>
      </w:pPr>
      <w:r w:rsidRPr="00777ADB">
        <w:t>Type B municipal funerals/burials</w:t>
      </w:r>
      <w:r>
        <w:t xml:space="preserve"> for non-social assistance recipients</w:t>
      </w:r>
      <w:r w:rsidRPr="00777ADB">
        <w:t xml:space="preserve"> are 100% municipal</w:t>
      </w:r>
      <w:r>
        <w:t>ly funded</w:t>
      </w:r>
      <w:r w:rsidR="009B2094">
        <w:t>. This service is</w:t>
      </w:r>
      <w:r w:rsidRPr="00777ADB">
        <w:t xml:space="preserve"> </w:t>
      </w:r>
      <w:r w:rsidR="005E129B">
        <w:t xml:space="preserve">not </w:t>
      </w:r>
      <w:r w:rsidRPr="00777ADB">
        <w:t xml:space="preserve">mandated by </w:t>
      </w:r>
      <w:r w:rsidR="005E129B">
        <w:t xml:space="preserve">the </w:t>
      </w:r>
      <w:r w:rsidRPr="00777ADB">
        <w:t>DSSAB</w:t>
      </w:r>
      <w:r w:rsidR="005E129B">
        <w:t xml:space="preserve"> Act</w:t>
      </w:r>
      <w:r w:rsidR="009B2094">
        <w:t xml:space="preserve"> and the DNSSAB provides this service on behalf of its member municipalities</w:t>
      </w:r>
      <w:r w:rsidRPr="00777ADB">
        <w:t>.</w:t>
      </w:r>
      <w:r w:rsidR="00077868">
        <w:t xml:space="preserve"> </w:t>
      </w:r>
    </w:p>
    <w:p w14:paraId="535AEEC2" w14:textId="77777777" w:rsidR="00777ADB" w:rsidRDefault="00777ADB" w:rsidP="00777ADB">
      <w:pPr>
        <w:pStyle w:val="ListParagraph"/>
      </w:pPr>
    </w:p>
    <w:p w14:paraId="32FC9B4A" w14:textId="2D3F2788" w:rsidR="00646D04" w:rsidRPr="00646D04" w:rsidRDefault="00777ADB" w:rsidP="00646D04">
      <w:pPr>
        <w:pStyle w:val="ListParagraph"/>
        <w:numPr>
          <w:ilvl w:val="0"/>
          <w:numId w:val="8"/>
        </w:numPr>
      </w:pPr>
      <w:r w:rsidRPr="00777ADB">
        <w:t>In 20</w:t>
      </w:r>
      <w:r>
        <w:t>2</w:t>
      </w:r>
      <w:r w:rsidR="00AB6F6B">
        <w:t>4</w:t>
      </w:r>
      <w:r w:rsidRPr="00777ADB">
        <w:t xml:space="preserve">, the only costs that remain cost shared are program delivery and employment services.  </w:t>
      </w:r>
      <w:r w:rsidR="00646D04" w:rsidRPr="00646D04">
        <w:t>Below is a summary of how the various OW programs are funded:</w:t>
      </w:r>
    </w:p>
    <w:tbl>
      <w:tblPr>
        <w:tblStyle w:val="GridTable4-Accent1"/>
        <w:tblW w:w="10349" w:type="dxa"/>
        <w:tblInd w:w="-431" w:type="dxa"/>
        <w:tblLook w:val="04A0" w:firstRow="1" w:lastRow="0" w:firstColumn="1" w:lastColumn="0" w:noHBand="0" w:noVBand="1"/>
      </w:tblPr>
      <w:tblGrid>
        <w:gridCol w:w="2836"/>
        <w:gridCol w:w="7513"/>
      </w:tblGrid>
      <w:tr w:rsidR="00646D04" w14:paraId="4717303F" w14:textId="77777777" w:rsidTr="00646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DF8C84E" w14:textId="77777777" w:rsidR="00646D04" w:rsidRDefault="00646D04" w:rsidP="00FA5B5C">
            <w:pPr>
              <w:widowControl w:val="0"/>
              <w:autoSpaceDE w:val="0"/>
              <w:autoSpaceDN w:val="0"/>
              <w:adjustRightInd w:val="0"/>
              <w:jc w:val="both"/>
              <w:rPr>
                <w:rFonts w:ascii="Arial" w:eastAsia="Times New Roman" w:hAnsi="Arial" w:cs="Arial"/>
                <w:bCs w:val="0"/>
                <w:sz w:val="24"/>
                <w:szCs w:val="24"/>
                <w:lang w:val="en-GB"/>
              </w:rPr>
            </w:pPr>
            <w:r>
              <w:rPr>
                <w:rFonts w:ascii="Arial" w:eastAsia="Times New Roman" w:hAnsi="Arial" w:cs="Arial"/>
                <w:bCs w:val="0"/>
                <w:sz w:val="24"/>
                <w:szCs w:val="24"/>
                <w:lang w:val="en-GB"/>
              </w:rPr>
              <w:t>Program</w:t>
            </w:r>
          </w:p>
        </w:tc>
        <w:tc>
          <w:tcPr>
            <w:tcW w:w="7513" w:type="dxa"/>
          </w:tcPr>
          <w:p w14:paraId="2C294A61" w14:textId="77777777" w:rsidR="00646D04" w:rsidRDefault="00646D04" w:rsidP="00FA5B5C">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val="en-GB"/>
              </w:rPr>
            </w:pPr>
            <w:r>
              <w:rPr>
                <w:rFonts w:ascii="Arial" w:eastAsia="Times New Roman" w:hAnsi="Arial" w:cs="Arial"/>
                <w:bCs w:val="0"/>
                <w:sz w:val="24"/>
                <w:szCs w:val="24"/>
                <w:lang w:val="en-GB"/>
              </w:rPr>
              <w:t>Funding Source</w:t>
            </w:r>
          </w:p>
        </w:tc>
      </w:tr>
      <w:tr w:rsidR="00646D04" w14:paraId="32361C9F" w14:textId="77777777" w:rsidTr="00646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FA2C5E3" w14:textId="77777777" w:rsidR="00646D04" w:rsidRDefault="00646D04" w:rsidP="00646D04">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Financial Assistance</w:t>
            </w:r>
          </w:p>
        </w:tc>
        <w:tc>
          <w:tcPr>
            <w:tcW w:w="7513" w:type="dxa"/>
          </w:tcPr>
          <w:p w14:paraId="028E8FFA" w14:textId="77777777" w:rsidR="00646D04" w:rsidRDefault="00646D04" w:rsidP="00FA5B5C">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the MCCSS</w:t>
            </w:r>
          </w:p>
        </w:tc>
      </w:tr>
      <w:tr w:rsidR="00646D04" w14:paraId="3386D48F" w14:textId="77777777" w:rsidTr="00646D04">
        <w:tc>
          <w:tcPr>
            <w:cnfStyle w:val="001000000000" w:firstRow="0" w:lastRow="0" w:firstColumn="1" w:lastColumn="0" w:oddVBand="0" w:evenVBand="0" w:oddHBand="0" w:evenHBand="0" w:firstRowFirstColumn="0" w:firstRowLastColumn="0" w:lastRowFirstColumn="0" w:lastRowLastColumn="0"/>
            <w:tcW w:w="2836" w:type="dxa"/>
          </w:tcPr>
          <w:p w14:paraId="60F4DF72" w14:textId="77777777" w:rsidR="00646D04" w:rsidRDefault="00646D04"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Mandatory Benefits</w:t>
            </w:r>
          </w:p>
        </w:tc>
        <w:tc>
          <w:tcPr>
            <w:tcW w:w="7513" w:type="dxa"/>
          </w:tcPr>
          <w:p w14:paraId="2D2D0789" w14:textId="77777777" w:rsidR="00646D04" w:rsidRDefault="00646D04" w:rsidP="00FA5B5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the MCCSS</w:t>
            </w:r>
          </w:p>
        </w:tc>
      </w:tr>
      <w:tr w:rsidR="00646D04" w14:paraId="728D298E" w14:textId="77777777" w:rsidTr="00646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69537DB" w14:textId="77777777" w:rsidR="00646D04" w:rsidRDefault="00646D04"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Discretionary Benefits</w:t>
            </w:r>
          </w:p>
        </w:tc>
        <w:tc>
          <w:tcPr>
            <w:tcW w:w="7513" w:type="dxa"/>
          </w:tcPr>
          <w:p w14:paraId="358CB875" w14:textId="77777777" w:rsidR="00646D04" w:rsidRDefault="00646D04" w:rsidP="00FA5B5C">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Funded by MCCSS up to a cap of $10 per average caseload</w:t>
            </w:r>
          </w:p>
        </w:tc>
      </w:tr>
      <w:tr w:rsidR="00646D04" w14:paraId="3C4BB1A4" w14:textId="77777777" w:rsidTr="00646D04">
        <w:tc>
          <w:tcPr>
            <w:cnfStyle w:val="001000000000" w:firstRow="0" w:lastRow="0" w:firstColumn="1" w:lastColumn="0" w:oddVBand="0" w:evenVBand="0" w:oddHBand="0" w:evenHBand="0" w:firstRowFirstColumn="0" w:firstRowLastColumn="0" w:lastRowFirstColumn="0" w:lastRowLastColumn="0"/>
            <w:tcW w:w="2836" w:type="dxa"/>
          </w:tcPr>
          <w:p w14:paraId="2C80309C" w14:textId="77777777" w:rsidR="00646D04" w:rsidRDefault="00646D04"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Funerals – Type B</w:t>
            </w:r>
          </w:p>
        </w:tc>
        <w:tc>
          <w:tcPr>
            <w:tcW w:w="7513" w:type="dxa"/>
          </w:tcPr>
          <w:p w14:paraId="4CD5AC9C" w14:textId="77777777" w:rsidR="00646D04" w:rsidRDefault="00646D04" w:rsidP="00FA5B5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Funerals for non-social assistance recipients are funded by the municipal levy. These funerals are a municipal responsibility that DNSSAB oversees for its member municipalities.</w:t>
            </w:r>
          </w:p>
        </w:tc>
      </w:tr>
      <w:tr w:rsidR="00646D04" w14:paraId="65D6C6FA" w14:textId="77777777" w:rsidTr="00646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EEAB9AB" w14:textId="77777777" w:rsidR="00646D04" w:rsidRDefault="00646D04"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Employment Assistance and Program Delivery</w:t>
            </w:r>
          </w:p>
        </w:tc>
        <w:tc>
          <w:tcPr>
            <w:tcW w:w="7513" w:type="dxa"/>
          </w:tcPr>
          <w:p w14:paraId="4DE1ADD6" w14:textId="635D47D6" w:rsidR="00646D04" w:rsidRDefault="00646D04" w:rsidP="00FA5B5C">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 xml:space="preserve">Employment assistance and program delivery is combined </w:t>
            </w:r>
            <w:r w:rsidR="00172522">
              <w:rPr>
                <w:rFonts w:ascii="Arial" w:eastAsia="Times New Roman" w:hAnsi="Arial" w:cs="Arial"/>
                <w:bCs/>
                <w:sz w:val="24"/>
                <w:szCs w:val="24"/>
                <w:lang w:val="en-GB"/>
              </w:rPr>
              <w:t>into</w:t>
            </w:r>
            <w:r>
              <w:rPr>
                <w:rFonts w:ascii="Arial" w:eastAsia="Times New Roman" w:hAnsi="Arial" w:cs="Arial"/>
                <w:bCs/>
                <w:sz w:val="24"/>
                <w:szCs w:val="24"/>
                <w:lang w:val="en-GB"/>
              </w:rPr>
              <w:t xml:space="preserve"> one pocket of funding from MCCSS. MCCSS currently provides $2,074,900 in 100% provincial funding and an additional $2,627,100 in 50/50 funding for total provincial funding of $4,702,000. The matching levy contribution is $2,627,100.</w:t>
            </w:r>
          </w:p>
        </w:tc>
      </w:tr>
    </w:tbl>
    <w:p w14:paraId="7FBBE539" w14:textId="780B32CA" w:rsidR="00266DFC" w:rsidRDefault="00D44889" w:rsidP="00266DFC">
      <w:pPr>
        <w:pStyle w:val="ListParagraph"/>
        <w:numPr>
          <w:ilvl w:val="0"/>
          <w:numId w:val="8"/>
        </w:numPr>
      </w:pPr>
      <w:r w:rsidRPr="00D44889">
        <w:lastRenderedPageBreak/>
        <w:t xml:space="preserve">OW financial benefits costs are expected to </w:t>
      </w:r>
      <w:r w:rsidR="00266DFC">
        <w:t>in</w:t>
      </w:r>
      <w:r w:rsidRPr="00D44889">
        <w:t>crease</w:t>
      </w:r>
      <w:r w:rsidR="00266DFC">
        <w:t xml:space="preserve"> slightly</w:t>
      </w:r>
      <w:r w:rsidRPr="00D44889">
        <w:t xml:space="preserve"> in 20</w:t>
      </w:r>
      <w:r>
        <w:t>2</w:t>
      </w:r>
      <w:r w:rsidR="00266DFC">
        <w:t>4</w:t>
      </w:r>
      <w:r w:rsidRPr="00D44889">
        <w:t xml:space="preserve"> from budgeted expenditures for 20</w:t>
      </w:r>
      <w:r w:rsidR="00E82ED2">
        <w:t>2</w:t>
      </w:r>
      <w:r w:rsidR="00266DFC">
        <w:t>3</w:t>
      </w:r>
      <w:r w:rsidRPr="00D44889">
        <w:t xml:space="preserve"> by $</w:t>
      </w:r>
      <w:r w:rsidR="00266DFC">
        <w:t>129,843</w:t>
      </w:r>
      <w:r w:rsidR="0014539D">
        <w:t xml:space="preserve"> </w:t>
      </w:r>
      <w:r w:rsidRPr="00D44889">
        <w:t xml:space="preserve">or </w:t>
      </w:r>
      <w:r w:rsidR="00266DFC">
        <w:t>0.84</w:t>
      </w:r>
      <w:r w:rsidRPr="00D44889">
        <w:t xml:space="preserve">%.  </w:t>
      </w:r>
      <w:r w:rsidR="00266DFC">
        <w:t>It</w:t>
      </w:r>
      <w:r w:rsidR="0014539D">
        <w:t xml:space="preserve"> was expected that financial assistance costs would rebound to the pre-pandemic levels after the expiration of </w:t>
      </w:r>
      <w:r w:rsidR="00132ED4">
        <w:t>Federal</w:t>
      </w:r>
      <w:r w:rsidR="00E82ED2">
        <w:t xml:space="preserve"> benefits such as the </w:t>
      </w:r>
      <w:r w:rsidR="00CB1715">
        <w:t>Canada Recovery Benefit (CRB)</w:t>
      </w:r>
      <w:r w:rsidR="00E82ED2">
        <w:t xml:space="preserve"> </w:t>
      </w:r>
      <w:r w:rsidR="0014539D">
        <w:t xml:space="preserve">in 2021, however, </w:t>
      </w:r>
      <w:r w:rsidR="00266DFC">
        <w:t>the caseload has be</w:t>
      </w:r>
      <w:r w:rsidR="00077868">
        <w:t>en</w:t>
      </w:r>
      <w:r w:rsidR="00266DFC">
        <w:t xml:space="preserve"> increasing much slower than originally anticipated</w:t>
      </w:r>
      <w:r w:rsidR="0014539D">
        <w:t xml:space="preserve">. </w:t>
      </w:r>
      <w:r w:rsidRPr="00D44889">
        <w:t xml:space="preserve">As mentioned previously, these costs are fully uploaded to the </w:t>
      </w:r>
      <w:proofErr w:type="gramStart"/>
      <w:r w:rsidRPr="00D44889">
        <w:t>Province</w:t>
      </w:r>
      <w:proofErr w:type="gramEnd"/>
      <w:r w:rsidRPr="00D44889">
        <w:t xml:space="preserve"> and therefore have no impact on the municipal levy. </w:t>
      </w:r>
    </w:p>
    <w:p w14:paraId="56711D5D" w14:textId="77777777" w:rsidR="00646D04" w:rsidRDefault="00646D04" w:rsidP="00646D04">
      <w:pPr>
        <w:pStyle w:val="ListParagraph"/>
      </w:pPr>
    </w:p>
    <w:p w14:paraId="3D9BEA65" w14:textId="26327964" w:rsidR="0096477C" w:rsidRDefault="00D44889" w:rsidP="0096477C">
      <w:pPr>
        <w:pStyle w:val="ListParagraph"/>
        <w:numPr>
          <w:ilvl w:val="0"/>
          <w:numId w:val="8"/>
        </w:numPr>
      </w:pPr>
      <w:r w:rsidRPr="00D44889">
        <w:t>The average monthly caseload in 20</w:t>
      </w:r>
      <w:r w:rsidR="00826300">
        <w:t>2</w:t>
      </w:r>
      <w:r w:rsidR="00266DFC">
        <w:t>4</w:t>
      </w:r>
      <w:r w:rsidRPr="00D44889">
        <w:t xml:space="preserve"> is expected to be </w:t>
      </w:r>
      <w:r w:rsidR="00B9516D">
        <w:t>1,8</w:t>
      </w:r>
      <w:r w:rsidR="00266DFC">
        <w:t>88</w:t>
      </w:r>
      <w:r w:rsidRPr="00D44889">
        <w:t xml:space="preserve">, which represents a </w:t>
      </w:r>
      <w:r w:rsidR="00BE42E1">
        <w:t>3.68</w:t>
      </w:r>
      <w:r w:rsidRPr="00D44889">
        <w:t xml:space="preserve">% </w:t>
      </w:r>
      <w:r w:rsidR="00BE42E1">
        <w:t>in</w:t>
      </w:r>
      <w:r w:rsidRPr="00D44889">
        <w:t xml:space="preserve">crease from the budgeted average monthly caseload of </w:t>
      </w:r>
      <w:r w:rsidR="00BE42E1">
        <w:t>1,821</w:t>
      </w:r>
      <w:r w:rsidR="00EB77B1">
        <w:t xml:space="preserve"> </w:t>
      </w:r>
      <w:r w:rsidRPr="00D44889">
        <w:t>for 20</w:t>
      </w:r>
      <w:r w:rsidR="00EB77B1">
        <w:t>2</w:t>
      </w:r>
      <w:r w:rsidR="00BE42E1">
        <w:t>3</w:t>
      </w:r>
      <w:r w:rsidRPr="00D44889">
        <w:t>.</w:t>
      </w:r>
      <w:r w:rsidR="00F2300C">
        <w:rPr>
          <w:rStyle w:val="FootnoteReference"/>
        </w:rPr>
        <w:footnoteReference w:id="2"/>
      </w:r>
      <w:r w:rsidR="0096477C">
        <w:t xml:space="preserve"> </w:t>
      </w:r>
      <w:r w:rsidR="0096477C" w:rsidRPr="0096477C">
        <w:t>The</w:t>
      </w:r>
      <w:r w:rsidR="0096477C">
        <w:t xml:space="preserve"> 202</w:t>
      </w:r>
      <w:r w:rsidR="00BE42E1">
        <w:t>3</w:t>
      </w:r>
      <w:r w:rsidR="00574072" w:rsidRPr="00574072">
        <w:t xml:space="preserve"> </w:t>
      </w:r>
      <w:r w:rsidR="00574072">
        <w:t>year-to-date</w:t>
      </w:r>
      <w:r w:rsidR="0096477C" w:rsidRPr="0096477C">
        <w:t xml:space="preserve"> </w:t>
      </w:r>
      <w:r w:rsidR="00574072">
        <w:t>(</w:t>
      </w:r>
      <w:r w:rsidR="0096477C" w:rsidRPr="0096477C">
        <w:t>YTD</w:t>
      </w:r>
      <w:r w:rsidR="00574072">
        <w:t>)</w:t>
      </w:r>
      <w:r w:rsidR="0096477C" w:rsidRPr="0096477C">
        <w:t xml:space="preserve"> actual average monthly </w:t>
      </w:r>
      <w:r w:rsidR="0096477C" w:rsidRPr="00A16C46">
        <w:t>caseload was 1,</w:t>
      </w:r>
      <w:r w:rsidR="00136E29">
        <w:t>806</w:t>
      </w:r>
      <w:r w:rsidR="0096477C" w:rsidRPr="0096477C">
        <w:t xml:space="preserve"> </w:t>
      </w:r>
      <w:r w:rsidR="0096477C">
        <w:t>as of October 31, 202</w:t>
      </w:r>
      <w:r w:rsidR="00136E29">
        <w:t>3</w:t>
      </w:r>
      <w:r w:rsidR="0096477C" w:rsidRPr="0096477C">
        <w:t xml:space="preserve">. </w:t>
      </w:r>
    </w:p>
    <w:p w14:paraId="431E7A9C" w14:textId="77777777" w:rsidR="00BE7175" w:rsidRDefault="00BE7175" w:rsidP="00BE7175">
      <w:pPr>
        <w:pStyle w:val="ListParagraph"/>
      </w:pPr>
    </w:p>
    <w:p w14:paraId="56986844" w14:textId="5272C5F0" w:rsidR="00D44889" w:rsidRDefault="00D44889" w:rsidP="00D44889">
      <w:pPr>
        <w:pStyle w:val="ListParagraph"/>
        <w:numPr>
          <w:ilvl w:val="0"/>
          <w:numId w:val="8"/>
        </w:numPr>
      </w:pPr>
      <w:r>
        <w:t>The annual average cost per case in 20</w:t>
      </w:r>
      <w:r w:rsidR="00826300">
        <w:t>2</w:t>
      </w:r>
      <w:r w:rsidR="00266DFC">
        <w:t>4</w:t>
      </w:r>
      <w:r>
        <w:t xml:space="preserve"> is budgeted to be $</w:t>
      </w:r>
      <w:r w:rsidR="00266DFC">
        <w:t>685.89</w:t>
      </w:r>
      <w:r>
        <w:t xml:space="preserve"> compared to $</w:t>
      </w:r>
      <w:r w:rsidR="00136E29">
        <w:t>705.27</w:t>
      </w:r>
      <w:r>
        <w:t xml:space="preserve">, the annual average </w:t>
      </w:r>
      <w:r w:rsidR="00697257">
        <w:t>budgeted in</w:t>
      </w:r>
      <w:r>
        <w:t xml:space="preserve"> </w:t>
      </w:r>
      <w:r w:rsidR="00EB77B1">
        <w:t>202</w:t>
      </w:r>
      <w:r w:rsidR="00136E29">
        <w:t>3</w:t>
      </w:r>
      <w:r>
        <w:t>.</w:t>
      </w:r>
      <w:r w:rsidR="00AD28F6">
        <w:t xml:space="preserve"> This change is based on current trends.</w:t>
      </w:r>
    </w:p>
    <w:p w14:paraId="2FE4EBDF" w14:textId="77777777" w:rsidR="00D44889" w:rsidRDefault="00D44889" w:rsidP="001A2FE4">
      <w:pPr>
        <w:pStyle w:val="ListParagraph"/>
      </w:pPr>
    </w:p>
    <w:p w14:paraId="4D9B9F30" w14:textId="773AA000" w:rsidR="003027FC" w:rsidRDefault="00826300" w:rsidP="003027FC">
      <w:pPr>
        <w:pStyle w:val="ListParagraph"/>
        <w:numPr>
          <w:ilvl w:val="0"/>
          <w:numId w:val="8"/>
        </w:numPr>
      </w:pPr>
      <w:r>
        <w:t xml:space="preserve">Mandatory </w:t>
      </w:r>
      <w:r w:rsidR="003027FC">
        <w:t xml:space="preserve">and discretionary </w:t>
      </w:r>
      <w:r>
        <w:t xml:space="preserve">benefits </w:t>
      </w:r>
      <w:r w:rsidR="006D0DE8">
        <w:t>budgets have been adjusted based on recent trends and expected caseload changes</w:t>
      </w:r>
      <w:r w:rsidR="00574072">
        <w:t xml:space="preserve">. </w:t>
      </w:r>
    </w:p>
    <w:p w14:paraId="713C00F9" w14:textId="77777777" w:rsidR="003027FC" w:rsidRDefault="003027FC" w:rsidP="003027FC">
      <w:pPr>
        <w:pStyle w:val="ListParagraph"/>
      </w:pPr>
    </w:p>
    <w:p w14:paraId="03D5BE9D" w14:textId="56CC3950" w:rsidR="0047275A" w:rsidRDefault="003027FC" w:rsidP="0047275A">
      <w:pPr>
        <w:pStyle w:val="ListParagraph"/>
        <w:numPr>
          <w:ilvl w:val="0"/>
          <w:numId w:val="8"/>
        </w:numPr>
      </w:pPr>
      <w:r>
        <w:t>E</w:t>
      </w:r>
      <w:r w:rsidR="00B067EB">
        <w:t>mployment assistance expenditures are decreasing $</w:t>
      </w:r>
      <w:r w:rsidR="006D0DE8">
        <w:t>12</w:t>
      </w:r>
      <w:r>
        <w:t>,</w:t>
      </w:r>
      <w:r w:rsidR="006D0DE8">
        <w:t>0</w:t>
      </w:r>
      <w:r>
        <w:t>00</w:t>
      </w:r>
      <w:r w:rsidR="00B067EB">
        <w:t xml:space="preserve"> </w:t>
      </w:r>
      <w:r w:rsidR="00C73A25">
        <w:t>(</w:t>
      </w:r>
      <w:r w:rsidR="006D0DE8">
        <w:t>2.80</w:t>
      </w:r>
      <w:r w:rsidR="00B067EB">
        <w:t>%</w:t>
      </w:r>
      <w:r w:rsidR="00C73A25">
        <w:t>)</w:t>
      </w:r>
      <w:r>
        <w:t xml:space="preserve"> due to the e</w:t>
      </w:r>
      <w:r w:rsidR="002E3292">
        <w:t xml:space="preserve">nding of </w:t>
      </w:r>
      <w:r w:rsidR="00172522">
        <w:t xml:space="preserve">an </w:t>
      </w:r>
      <w:r w:rsidR="00661311">
        <w:t xml:space="preserve">outsourced </w:t>
      </w:r>
      <w:r w:rsidR="00172522">
        <w:t xml:space="preserve">employment </w:t>
      </w:r>
      <w:r w:rsidR="002E3292">
        <w:t>program</w:t>
      </w:r>
      <w:r w:rsidR="00172522">
        <w:t xml:space="preserve"> which is partially offset by </w:t>
      </w:r>
      <w:r w:rsidR="00661311">
        <w:t>increases to direct client benefits</w:t>
      </w:r>
      <w:r w:rsidR="00B067EB">
        <w:t xml:space="preserve">. </w:t>
      </w:r>
    </w:p>
    <w:p w14:paraId="35A1F213" w14:textId="414DA685" w:rsidR="00B562A3" w:rsidRDefault="00B067EB" w:rsidP="001759E1">
      <w:pPr>
        <w:pStyle w:val="Heading4"/>
        <w:spacing w:before="360" w:after="100" w:afterAutospacing="1"/>
      </w:pPr>
      <w:r w:rsidRPr="00B067EB">
        <w:rPr>
          <w:b w:val="0"/>
          <w:bCs w:val="0"/>
          <w:i w:val="0"/>
          <w:iCs w:val="0"/>
        </w:rPr>
        <w:t>3.</w:t>
      </w:r>
      <w:r w:rsidR="00281C0F">
        <w:t>2</w:t>
      </w:r>
      <w:r>
        <w:t xml:space="preserve">.3 </w:t>
      </w:r>
      <w:r w:rsidR="00B562A3">
        <w:t>OW Program Delivery</w:t>
      </w:r>
    </w:p>
    <w:p w14:paraId="23247D11" w14:textId="5C9CBB07" w:rsidR="0066337B" w:rsidRDefault="00FC28D8" w:rsidP="00FC28D8">
      <w:pPr>
        <w:pStyle w:val="ListParagraph"/>
        <w:numPr>
          <w:ilvl w:val="0"/>
          <w:numId w:val="10"/>
        </w:numPr>
      </w:pPr>
      <w:r w:rsidRPr="00FC28D8">
        <w:t>The $</w:t>
      </w:r>
      <w:r w:rsidR="002E3292">
        <w:t>12,</w:t>
      </w:r>
      <w:r w:rsidR="003027FC">
        <w:t>000</w:t>
      </w:r>
      <w:r w:rsidRPr="00FC28D8">
        <w:t xml:space="preserve"> </w:t>
      </w:r>
      <w:r w:rsidR="002E3292">
        <w:t>in</w:t>
      </w:r>
      <w:r w:rsidRPr="00FC28D8">
        <w:t>crease in program del</w:t>
      </w:r>
      <w:r w:rsidR="008A6150">
        <w:t xml:space="preserve">ivery costs is </w:t>
      </w:r>
      <w:r w:rsidR="002E3292">
        <w:t>due to inflation</w:t>
      </w:r>
      <w:r w:rsidR="003027FC">
        <w:t>.</w:t>
      </w:r>
      <w:r w:rsidR="00DB19F5">
        <w:t xml:space="preserve"> </w:t>
      </w:r>
      <w:r w:rsidR="002E3292">
        <w:t>The increase in the budget has been limited to the cost sharing threshold with MCCSS to not result in any increases to the municipal levy, given the high budget pressures in other departments in 2024. As mentioned previously, without inflationary increases to provincial funding allocations, inflation will eventually result in increases to this budget as cost saving opportunities are exhausted.</w:t>
      </w:r>
    </w:p>
    <w:p w14:paraId="74546430" w14:textId="5F656710" w:rsidR="009C35C6" w:rsidRDefault="009C35C6">
      <w:pPr>
        <w:rPr>
          <w:rFonts w:asciiTheme="majorHAnsi" w:eastAsiaTheme="majorEastAsia" w:hAnsiTheme="majorHAnsi" w:cstheme="majorBidi"/>
          <w:b/>
          <w:bCs/>
          <w:color w:val="4F81BD" w:themeColor="accent1"/>
          <w:sz w:val="26"/>
          <w:szCs w:val="26"/>
        </w:rPr>
      </w:pPr>
    </w:p>
    <w:p w14:paraId="64947D95" w14:textId="47EBA5CC" w:rsidR="003C5FAC" w:rsidRDefault="003C5FAC" w:rsidP="003C5FAC">
      <w:pPr>
        <w:pStyle w:val="Heading2"/>
      </w:pPr>
      <w:bookmarkStart w:id="7" w:name="_Toc155193119"/>
      <w:r w:rsidRPr="002B1A5B">
        <w:lastRenderedPageBreak/>
        <w:t>3.</w:t>
      </w:r>
      <w:r w:rsidR="00281C0F">
        <w:t>3</w:t>
      </w:r>
      <w:r w:rsidRPr="002B1A5B">
        <w:t xml:space="preserve"> Children’s Services</w:t>
      </w:r>
      <w:bookmarkEnd w:id="7"/>
    </w:p>
    <w:p w14:paraId="2FA2B431" w14:textId="614B1B67" w:rsidR="00323F4B" w:rsidRPr="00323F4B" w:rsidRDefault="00DD3583" w:rsidP="00ED0B1D">
      <w:pPr>
        <w:jc w:val="center"/>
      </w:pPr>
      <w:r>
        <w:rPr>
          <w:noProof/>
        </w:rPr>
        <w:drawing>
          <wp:inline distT="0" distB="0" distL="0" distR="0" wp14:anchorId="6D4A3DE8" wp14:editId="55E8F8B0">
            <wp:extent cx="5031181" cy="3139578"/>
            <wp:effectExtent l="133350" t="114300" r="150495" b="156210"/>
            <wp:docPr id="1725314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2994" cy="31531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FE78755" w14:textId="0E8BADAD" w:rsidR="009C35C6" w:rsidRPr="002B1A5B" w:rsidRDefault="00DD3583" w:rsidP="009C35C6">
      <w:pPr>
        <w:ind w:left="-720"/>
      </w:pPr>
      <w:r w:rsidRPr="00DD3583">
        <w:rPr>
          <w:noProof/>
        </w:rPr>
        <w:drawing>
          <wp:inline distT="0" distB="0" distL="0" distR="0" wp14:anchorId="250ED6AE" wp14:editId="45B4AAC9">
            <wp:extent cx="6840878" cy="3255264"/>
            <wp:effectExtent l="0" t="0" r="0" b="2540"/>
            <wp:docPr id="591940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2910" cy="3260989"/>
                    </a:xfrm>
                    <a:prstGeom prst="rect">
                      <a:avLst/>
                    </a:prstGeom>
                    <a:noFill/>
                    <a:ln>
                      <a:noFill/>
                    </a:ln>
                  </pic:spPr>
                </pic:pic>
              </a:graphicData>
            </a:graphic>
          </wp:inline>
        </w:drawing>
      </w:r>
    </w:p>
    <w:p w14:paraId="403F7EF4" w14:textId="7DE42EC6" w:rsidR="00CF28DA" w:rsidRDefault="00CF28DA" w:rsidP="00CF28DA">
      <w:pPr>
        <w:pStyle w:val="ListParagraph"/>
        <w:numPr>
          <w:ilvl w:val="0"/>
          <w:numId w:val="7"/>
        </w:numPr>
      </w:pPr>
      <w:r>
        <w:t>In 202</w:t>
      </w:r>
      <w:r w:rsidR="005B1FD9">
        <w:t>4</w:t>
      </w:r>
      <w:r>
        <w:t xml:space="preserve">, the Children’s Services budget has </w:t>
      </w:r>
      <w:r w:rsidR="00DD3583">
        <w:t>in</w:t>
      </w:r>
      <w:r>
        <w:t>creased year over year by $</w:t>
      </w:r>
      <w:r w:rsidR="00DD3583">
        <w:t>576,908</w:t>
      </w:r>
      <w:r>
        <w:t xml:space="preserve"> or </w:t>
      </w:r>
      <w:r w:rsidR="003F3D04">
        <w:t>2.</w:t>
      </w:r>
      <w:r w:rsidR="00DD3583">
        <w:t>05</w:t>
      </w:r>
      <w:r>
        <w:t xml:space="preserve">%. This is </w:t>
      </w:r>
      <w:r w:rsidR="003F3D04">
        <w:t>due to</w:t>
      </w:r>
      <w:r>
        <w:t xml:space="preserve"> </w:t>
      </w:r>
      <w:r w:rsidR="003F3D04">
        <w:t>a</w:t>
      </w:r>
      <w:r w:rsidR="00DD3583">
        <w:t>n increase in the Canada-Wide Early Learning &amp; Childcare (CWELCC)</w:t>
      </w:r>
      <w:r w:rsidR="003F3D04">
        <w:t xml:space="preserve"> </w:t>
      </w:r>
      <w:r w:rsidR="00DD3583">
        <w:t xml:space="preserve">funding which is partially offset by a </w:t>
      </w:r>
      <w:r w:rsidR="003F3D04">
        <w:t>decrease in provincial administrative funding (further details below) and the ending of the Skills Development Fund, which was a one-time project.</w:t>
      </w:r>
    </w:p>
    <w:p w14:paraId="4C46CBEF" w14:textId="77B7478F" w:rsidR="00DC10CA" w:rsidRPr="00DC10CA" w:rsidRDefault="00323F4B" w:rsidP="0047275A">
      <w:pPr>
        <w:pStyle w:val="Heading4"/>
        <w:spacing w:after="100" w:afterAutospacing="1"/>
      </w:pPr>
      <w:r>
        <w:lastRenderedPageBreak/>
        <w:t>3.</w:t>
      </w:r>
      <w:r w:rsidR="00281C0F">
        <w:t>3</w:t>
      </w:r>
      <w:r>
        <w:t>.1 Children’s Services Provincial Funding Impact</w:t>
      </w:r>
    </w:p>
    <w:p w14:paraId="77A01278" w14:textId="010FA476" w:rsidR="00F16926" w:rsidRDefault="00F16926" w:rsidP="00F16926">
      <w:r>
        <w:t>In 20</w:t>
      </w:r>
      <w:r w:rsidR="00426393">
        <w:t>1</w:t>
      </w:r>
      <w:r>
        <w:t>9, The Ministry of Education (EDU) announced the following funding changes that were originally planned to be implemented over the three-year period of 2020 to 2022:</w:t>
      </w:r>
    </w:p>
    <w:p w14:paraId="162DFA4A" w14:textId="0CE58660" w:rsidR="00F16926" w:rsidRDefault="00F16926" w:rsidP="00F16926">
      <w:pPr>
        <w:pStyle w:val="ListParagraph"/>
        <w:numPr>
          <w:ilvl w:val="0"/>
          <w:numId w:val="37"/>
        </w:numPr>
      </w:pPr>
      <w:r>
        <w:t xml:space="preserve">On January 1, 2020, Consolidated Municipal Service Managers (CMSMs) and District Social Services Administration Boards (DSSABs) were asked to cost-share Expansion Plan operating funding at a rate of 80/20 provincial/municipal. </w:t>
      </w:r>
    </w:p>
    <w:p w14:paraId="7CE7B681" w14:textId="27F51D13" w:rsidR="00F16926" w:rsidRDefault="00F16926" w:rsidP="00F16926">
      <w:pPr>
        <w:pStyle w:val="ListParagraph"/>
        <w:numPr>
          <w:ilvl w:val="0"/>
          <w:numId w:val="37"/>
        </w:numPr>
      </w:pPr>
      <w:r>
        <w:t xml:space="preserve">On January 1, 2021, CMSMs/DSSABs were asked to continue cost-sharing Expansion Plan operating funding at a rate of 80/20 and </w:t>
      </w:r>
      <w:r w:rsidR="00426393">
        <w:t>were</w:t>
      </w:r>
      <w:r>
        <w:t xml:space="preserve"> required to cost share most administrative funding at a rate of 50/50; and </w:t>
      </w:r>
    </w:p>
    <w:p w14:paraId="0822B951" w14:textId="648D2D13" w:rsidR="00F16926" w:rsidRDefault="00F16926" w:rsidP="00F16926">
      <w:pPr>
        <w:pStyle w:val="ListParagraph"/>
        <w:numPr>
          <w:ilvl w:val="0"/>
          <w:numId w:val="37"/>
        </w:numPr>
      </w:pPr>
      <w:r>
        <w:t xml:space="preserve">On January 1, 2022, the threshold for allowable administrative funding that CMSMs/DSSABs can spend on </w:t>
      </w:r>
      <w:r w:rsidR="009E2239">
        <w:t>childcare</w:t>
      </w:r>
      <w:r>
        <w:t xml:space="preserve"> </w:t>
      </w:r>
      <w:r w:rsidR="00426393">
        <w:t>was</w:t>
      </w:r>
      <w:r>
        <w:t xml:space="preserve"> reduced from 10% to 5% in addition to the ongoing cost sharing requirements previously introduced.</w:t>
      </w:r>
    </w:p>
    <w:p w14:paraId="1E9765F8" w14:textId="236B6616" w:rsidR="00F16926" w:rsidRDefault="00F16926" w:rsidP="00F16926">
      <w:r>
        <w:t>For the last t</w:t>
      </w:r>
      <w:r w:rsidR="00725A6D">
        <w:t>wo</w:t>
      </w:r>
      <w:r>
        <w:t xml:space="preserve"> years (202</w:t>
      </w:r>
      <w:r w:rsidR="00725A6D">
        <w:t>2</w:t>
      </w:r>
      <w:r>
        <w:t xml:space="preserve"> </w:t>
      </w:r>
      <w:r w:rsidR="00725A6D">
        <w:t xml:space="preserve">and </w:t>
      </w:r>
      <w:r>
        <w:t xml:space="preserve">2023), the EDU has provided one-time funding of $605,748 each year to offset the impact of the administrative funding changes noted above. </w:t>
      </w:r>
      <w:r w:rsidR="00C54630">
        <w:t>T</w:t>
      </w:r>
      <w:r>
        <w:t>he one-time funding will not be provided in 2024 and future years. This change results in a decrease of approximately 33% in administrative funding for Children’s Services and does not align with the reporting requirement</w:t>
      </w:r>
      <w:r w:rsidR="00083EF6">
        <w:t>s</w:t>
      </w:r>
      <w:r>
        <w:t xml:space="preserve"> that the EDU has been requesting</w:t>
      </w:r>
      <w:r w:rsidR="00725A6D">
        <w:t>.</w:t>
      </w:r>
      <w:r>
        <w:t xml:space="preserve"> </w:t>
      </w:r>
      <w:r w:rsidR="00725A6D">
        <w:t>With</w:t>
      </w:r>
      <w:r>
        <w:t xml:space="preserve"> the implementation of </w:t>
      </w:r>
      <w:r w:rsidR="00083EF6">
        <w:t>the CWELCC system</w:t>
      </w:r>
      <w:r w:rsidR="00725A6D">
        <w:t xml:space="preserve">, there is intensive reporting and </w:t>
      </w:r>
      <w:r w:rsidR="000F7E94">
        <w:t>childcare</w:t>
      </w:r>
      <w:r w:rsidR="00725A6D">
        <w:t xml:space="preserve"> provider oversight required</w:t>
      </w:r>
      <w:r w:rsidR="00083EF6">
        <w:t xml:space="preserve">.  </w:t>
      </w:r>
      <w:r w:rsidR="00725A6D">
        <w:t xml:space="preserve">Such a significant reduction in administrative funding will limit DNSSAB’s ability to meet these requirements. Advocacy efforts will be made to communicate this issue to the </w:t>
      </w:r>
      <w:proofErr w:type="gramStart"/>
      <w:r w:rsidR="00725A6D">
        <w:t>Province</w:t>
      </w:r>
      <w:proofErr w:type="gramEnd"/>
      <w:r w:rsidR="00924840">
        <w:t>.</w:t>
      </w:r>
    </w:p>
    <w:p w14:paraId="44B40140" w14:textId="6ED9DD4D" w:rsidR="00A329DE" w:rsidRDefault="00A329DE" w:rsidP="00F16926">
      <w:r>
        <w:t>This change is not expected to impact the 2024 budget as Children’s Services is able to use the unspent portion of the previous years’ one-time funding until March 31, 2024. This will help offset the funding reduction in 2024.</w:t>
      </w:r>
    </w:p>
    <w:p w14:paraId="6523054D" w14:textId="08384483" w:rsidR="00281C0F" w:rsidRPr="00DC10CA" w:rsidRDefault="00281C0F" w:rsidP="00281C0F">
      <w:pPr>
        <w:pStyle w:val="Heading4"/>
        <w:spacing w:before="360" w:after="100" w:afterAutospacing="1"/>
      </w:pPr>
      <w:r>
        <w:t>3.3.2 Children’s Services Programs</w:t>
      </w:r>
    </w:p>
    <w:p w14:paraId="16FD7FB3" w14:textId="6A3827D7" w:rsidR="003525FD" w:rsidRDefault="003525FD" w:rsidP="003525FD">
      <w:pPr>
        <w:pStyle w:val="ListParagraph"/>
        <w:numPr>
          <w:ilvl w:val="0"/>
          <w:numId w:val="13"/>
        </w:numPr>
      </w:pPr>
      <w:r>
        <w:t>The total 202</w:t>
      </w:r>
      <w:r w:rsidR="00603C12">
        <w:t>4</w:t>
      </w:r>
      <w:r>
        <w:t xml:space="preserve"> Children’s Services budget is the amount set out in the transfer payment agreement</w:t>
      </w:r>
      <w:r w:rsidR="00603C12">
        <w:t xml:space="preserve"> (TPA)</w:t>
      </w:r>
      <w:r>
        <w:t xml:space="preserve"> with EDU. The municipal levy allocation is the minimum cost share requirement based on the </w:t>
      </w:r>
      <w:r w:rsidR="00603C12">
        <w:t xml:space="preserve">TPA. </w:t>
      </w:r>
    </w:p>
    <w:p w14:paraId="2784942D" w14:textId="77777777" w:rsidR="003525FD" w:rsidRDefault="003525FD" w:rsidP="003525FD">
      <w:pPr>
        <w:pStyle w:val="ListParagraph"/>
      </w:pPr>
    </w:p>
    <w:p w14:paraId="0FA4791C" w14:textId="77777777" w:rsidR="00756950" w:rsidRDefault="00756950">
      <w:r>
        <w:br w:type="page"/>
      </w:r>
    </w:p>
    <w:p w14:paraId="15A3364C" w14:textId="4412EAB2" w:rsidR="00606D62" w:rsidRDefault="003525FD" w:rsidP="00724974">
      <w:pPr>
        <w:pStyle w:val="ListParagraph"/>
        <w:numPr>
          <w:ilvl w:val="0"/>
          <w:numId w:val="13"/>
        </w:numPr>
      </w:pPr>
      <w:bookmarkStart w:id="8" w:name="_Hlk152183165"/>
      <w:r>
        <w:lastRenderedPageBreak/>
        <w:t>S</w:t>
      </w:r>
      <w:r w:rsidR="00CB30F2">
        <w:t>ince the EDU</w:t>
      </w:r>
      <w:r>
        <w:t xml:space="preserve"> changed the cost sharing formula for Expansion funding in 2020 from 100% provincial to an 80/20 split, they made the 20% municipal portion optional in response to feedback from municipalities, </w:t>
      </w:r>
      <w:r w:rsidR="00F66746">
        <w:t>CMSMs</w:t>
      </w:r>
      <w:r>
        <w:t xml:space="preserve"> and </w:t>
      </w:r>
      <w:r w:rsidR="00F66746">
        <w:t>DSSABs</w:t>
      </w:r>
      <w:r>
        <w:t xml:space="preserve">. The previous Board decided to continue funding the 20% municipal portion of the Expansion funding so there would be no negative impacts on the availability of </w:t>
      </w:r>
      <w:r w:rsidRPr="00BD2AB7">
        <w:t xml:space="preserve">high-quality </w:t>
      </w:r>
      <w:r w:rsidR="00724974">
        <w:t xml:space="preserve">licensed </w:t>
      </w:r>
      <w:r w:rsidR="009E2239" w:rsidRPr="00BD2AB7">
        <w:t>childcare</w:t>
      </w:r>
      <w:r>
        <w:t xml:space="preserve"> spaces in the district. The 2023 budget remove</w:t>
      </w:r>
      <w:r w:rsidR="00F66746">
        <w:t>d</w:t>
      </w:r>
      <w:r>
        <w:t xml:space="preserve"> this optional municipal contribution of $423,431</w:t>
      </w:r>
      <w:r w:rsidR="00F66746">
        <w:t>, given the estimated increase to the municipal levy to fund Northern Pines</w:t>
      </w:r>
      <w:r w:rsidR="00896CEF">
        <w:t>,</w:t>
      </w:r>
      <w:r w:rsidR="00F66746">
        <w:t xml:space="preserve"> the Low Barrier Shelter</w:t>
      </w:r>
      <w:r w:rsidR="00896CEF">
        <w:t>, and emergency overflow</w:t>
      </w:r>
      <w:r w:rsidR="00F66746">
        <w:t xml:space="preserve"> at the time</w:t>
      </w:r>
      <w:r>
        <w:t>.</w:t>
      </w:r>
      <w:r w:rsidR="00F66746">
        <w:t xml:space="preserve"> This optional municipal levy contribution will remain out of the budget in 2024 as well.</w:t>
      </w:r>
      <w:r>
        <w:t xml:space="preserve"> It </w:t>
      </w:r>
      <w:r w:rsidR="00F66746">
        <w:t>was</w:t>
      </w:r>
      <w:r>
        <w:t xml:space="preserve"> possible to remove this contribution in 2023</w:t>
      </w:r>
      <w:r w:rsidR="007A70F6">
        <w:t>,</w:t>
      </w:r>
      <w:r w:rsidR="00F66746">
        <w:t xml:space="preserve"> and keep it removed in 2024</w:t>
      </w:r>
      <w:r>
        <w:t xml:space="preserve"> without affecting the availability of </w:t>
      </w:r>
      <w:r w:rsidR="00724974">
        <w:t xml:space="preserve">licensed </w:t>
      </w:r>
      <w:r w:rsidR="009E2239">
        <w:t>childcare</w:t>
      </w:r>
      <w:r>
        <w:t xml:space="preserve"> spaces for the short-term</w:t>
      </w:r>
      <w:r w:rsidR="00724974">
        <w:t>,</w:t>
      </w:r>
      <w:r>
        <w:t xml:space="preserve"> </w:t>
      </w:r>
      <w:r w:rsidR="00724974">
        <w:t>as</w:t>
      </w:r>
      <w:r>
        <w:t xml:space="preserve"> many </w:t>
      </w:r>
      <w:r w:rsidR="007A70F6">
        <w:t>childcare</w:t>
      </w:r>
      <w:r>
        <w:t xml:space="preserve"> agencies in the district </w:t>
      </w:r>
      <w:r w:rsidR="00724974">
        <w:t>continue to operate</w:t>
      </w:r>
      <w:r>
        <w:t xml:space="preserve"> at </w:t>
      </w:r>
      <w:r w:rsidR="00724974">
        <w:t xml:space="preserve">a </w:t>
      </w:r>
      <w:r>
        <w:t xml:space="preserve">reduced capacity since closures were mandated during the pandemic. </w:t>
      </w:r>
      <w:r w:rsidR="00724974">
        <w:t>Pre-pandemic, s</w:t>
      </w:r>
      <w:r>
        <w:t xml:space="preserve">taff recruitment and retention </w:t>
      </w:r>
      <w:proofErr w:type="gramStart"/>
      <w:r>
        <w:t>was</w:t>
      </w:r>
      <w:proofErr w:type="gramEnd"/>
      <w:r>
        <w:t xml:space="preserve"> already an issue</w:t>
      </w:r>
      <w:r w:rsidR="00724974">
        <w:t>.</w:t>
      </w:r>
      <w:r>
        <w:t xml:space="preserve"> </w:t>
      </w:r>
      <w:r w:rsidR="00724974">
        <w:t>T</w:t>
      </w:r>
      <w:r>
        <w:t>his issue has worsened significantly ever since the pandemic began</w:t>
      </w:r>
      <w:r w:rsidR="00724974" w:rsidRPr="00724974">
        <w:t xml:space="preserve"> which</w:t>
      </w:r>
      <w:r w:rsidR="00CB30F2">
        <w:t>,</w:t>
      </w:r>
      <w:r w:rsidR="00724974" w:rsidRPr="00724974">
        <w:t xml:space="preserve"> in some instances, has caused temporary classroom and program closures</w:t>
      </w:r>
      <w:r>
        <w:t xml:space="preserve">. Therefore, </w:t>
      </w:r>
      <w:r w:rsidR="00724974">
        <w:t>due to</w:t>
      </w:r>
      <w:r>
        <w:t xml:space="preserve"> the current reduced capacity</w:t>
      </w:r>
      <w:r w:rsidR="00724974">
        <w:t xml:space="preserve"> within </w:t>
      </w:r>
      <w:r w:rsidR="009E2239">
        <w:t>childcare</w:t>
      </w:r>
      <w:r w:rsidR="00724974">
        <w:t xml:space="preserve"> </w:t>
      </w:r>
      <w:proofErr w:type="spellStart"/>
      <w:r w:rsidR="00724974">
        <w:t>centres</w:t>
      </w:r>
      <w:proofErr w:type="spellEnd"/>
      <w:r>
        <w:t xml:space="preserve">, the additional funding is not expected to be required </w:t>
      </w:r>
      <w:r w:rsidR="00480BC3">
        <w:t>until 2025</w:t>
      </w:r>
      <w:r>
        <w:t>. Once the workforce is stabilized</w:t>
      </w:r>
      <w:r w:rsidR="00724974">
        <w:t xml:space="preserve"> </w:t>
      </w:r>
      <w:r w:rsidR="00724974" w:rsidRPr="00724974">
        <w:t>and service levels increase closer to the licensed capacity</w:t>
      </w:r>
      <w:r>
        <w:t xml:space="preserve">, this additional contribution will eventually need to come back on the municipal levy to support </w:t>
      </w:r>
      <w:r w:rsidR="00724974">
        <w:t xml:space="preserve">existing licensed </w:t>
      </w:r>
      <w:r w:rsidR="009E2239">
        <w:t>childcare</w:t>
      </w:r>
      <w:r>
        <w:t xml:space="preserve"> spaces as there is currently a wait list of </w:t>
      </w:r>
      <w:r w:rsidRPr="00BB1388">
        <w:t>approximately 1,</w:t>
      </w:r>
      <w:r w:rsidR="00BB1388">
        <w:t>447</w:t>
      </w:r>
      <w:r>
        <w:t xml:space="preserve"> children. This is only meant to be temporary savings on the municipal levy to mitigate the impact of the </w:t>
      </w:r>
      <w:r w:rsidR="00F66746">
        <w:t>Paramedic Services</w:t>
      </w:r>
      <w:r>
        <w:t xml:space="preserve"> budget pressures.</w:t>
      </w:r>
    </w:p>
    <w:bookmarkEnd w:id="8"/>
    <w:p w14:paraId="4EFBEDAF" w14:textId="0F2C614C" w:rsidR="00323F4B" w:rsidRDefault="00323F4B" w:rsidP="00281C0F">
      <w:pPr>
        <w:pStyle w:val="Heading4"/>
        <w:spacing w:before="360" w:after="100" w:afterAutospacing="1"/>
      </w:pPr>
      <w:r w:rsidRPr="00B067EB">
        <w:rPr>
          <w:b w:val="0"/>
          <w:bCs w:val="0"/>
          <w:i w:val="0"/>
          <w:iCs w:val="0"/>
        </w:rPr>
        <w:t>3.</w:t>
      </w:r>
      <w:r w:rsidR="00281C0F">
        <w:t>3</w:t>
      </w:r>
      <w:r>
        <w:t>.3 Children’s Services Program Delivery</w:t>
      </w:r>
    </w:p>
    <w:p w14:paraId="1D8166AB" w14:textId="32F715D1" w:rsidR="00007059" w:rsidRDefault="003F529C" w:rsidP="00D836C2">
      <w:pPr>
        <w:pStyle w:val="ListParagraph"/>
        <w:numPr>
          <w:ilvl w:val="0"/>
          <w:numId w:val="14"/>
        </w:numPr>
        <w:spacing w:line="264" w:lineRule="auto"/>
      </w:pPr>
      <w:proofErr w:type="gramStart"/>
      <w:r>
        <w:t>Similar to</w:t>
      </w:r>
      <w:proofErr w:type="gramEnd"/>
      <w:r>
        <w:t xml:space="preserve"> </w:t>
      </w:r>
      <w:r w:rsidR="00E80DC0">
        <w:t>Children’s S</w:t>
      </w:r>
      <w:r w:rsidR="00A63302">
        <w:t xml:space="preserve">ervices </w:t>
      </w:r>
      <w:r>
        <w:t xml:space="preserve">programs, the amounts allocated to program delivery </w:t>
      </w:r>
      <w:r w:rsidR="00A63302">
        <w:t>are</w:t>
      </w:r>
      <w:r>
        <w:t xml:space="preserve"> set out within the</w:t>
      </w:r>
      <w:r w:rsidR="00F66746">
        <w:t xml:space="preserve"> </w:t>
      </w:r>
      <w:r>
        <w:t>transfer</w:t>
      </w:r>
      <w:r w:rsidR="00EA7610">
        <w:t xml:space="preserve"> payment agreement with the EDU</w:t>
      </w:r>
      <w:r w:rsidR="002608DC">
        <w:t>.</w:t>
      </w:r>
    </w:p>
    <w:p w14:paraId="084C7502" w14:textId="77777777" w:rsidR="00E80DC0" w:rsidRDefault="00E80DC0" w:rsidP="00D836C2">
      <w:pPr>
        <w:pStyle w:val="ListParagraph"/>
        <w:spacing w:line="264" w:lineRule="auto"/>
      </w:pPr>
    </w:p>
    <w:p w14:paraId="31104831" w14:textId="160B1B00" w:rsidR="003C5FAC" w:rsidRDefault="003C5FAC" w:rsidP="003C5FAC">
      <w:pPr>
        <w:pStyle w:val="Heading2"/>
      </w:pPr>
      <w:bookmarkStart w:id="9" w:name="_Toc155193120"/>
      <w:r w:rsidRPr="002B1A5B">
        <w:lastRenderedPageBreak/>
        <w:t>3.</w:t>
      </w:r>
      <w:r w:rsidR="00281C0F">
        <w:t>4</w:t>
      </w:r>
      <w:r w:rsidRPr="002B1A5B">
        <w:t xml:space="preserve"> Housing Services</w:t>
      </w:r>
      <w:bookmarkEnd w:id="9"/>
    </w:p>
    <w:p w14:paraId="58AE590A" w14:textId="0C58A6CB" w:rsidR="00EC5568" w:rsidRDefault="00756950" w:rsidP="00ED0B1D">
      <w:pPr>
        <w:jc w:val="center"/>
      </w:pPr>
      <w:r>
        <w:rPr>
          <w:noProof/>
        </w:rPr>
        <w:drawing>
          <wp:inline distT="0" distB="0" distL="0" distR="0" wp14:anchorId="71C80B1A" wp14:editId="05139D04">
            <wp:extent cx="5053126" cy="3132407"/>
            <wp:effectExtent l="133350" t="114300" r="147955" b="163830"/>
            <wp:docPr id="911317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1504" cy="31437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69BC7A" w14:textId="644FCE3D" w:rsidR="007F5C9B" w:rsidRDefault="000A554B" w:rsidP="00AA5F9F">
      <w:pPr>
        <w:ind w:left="-576"/>
      </w:pPr>
      <w:r w:rsidRPr="000A554B">
        <w:rPr>
          <w:noProof/>
        </w:rPr>
        <w:drawing>
          <wp:inline distT="0" distB="0" distL="0" distR="0" wp14:anchorId="030894CE" wp14:editId="03CF4187">
            <wp:extent cx="6684318" cy="3335732"/>
            <wp:effectExtent l="0" t="0" r="2540" b="0"/>
            <wp:docPr id="1784679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8046" cy="3342583"/>
                    </a:xfrm>
                    <a:prstGeom prst="rect">
                      <a:avLst/>
                    </a:prstGeom>
                    <a:noFill/>
                    <a:ln>
                      <a:noFill/>
                    </a:ln>
                  </pic:spPr>
                </pic:pic>
              </a:graphicData>
            </a:graphic>
          </wp:inline>
        </w:drawing>
      </w:r>
    </w:p>
    <w:p w14:paraId="6A72311C" w14:textId="0B0660F2" w:rsidR="003A11D7" w:rsidRDefault="00AA5F9F" w:rsidP="00EC5568">
      <w:pPr>
        <w:pStyle w:val="ListParagraph"/>
        <w:numPr>
          <w:ilvl w:val="0"/>
          <w:numId w:val="15"/>
        </w:numPr>
      </w:pPr>
      <w:r>
        <w:t>In 202</w:t>
      </w:r>
      <w:r w:rsidR="000A554B">
        <w:t>4</w:t>
      </w:r>
      <w:r>
        <w:t xml:space="preserve">, the Housing Services budget has </w:t>
      </w:r>
      <w:r w:rsidR="000A554B">
        <w:t>in</w:t>
      </w:r>
      <w:r>
        <w:t>creased year over year by $</w:t>
      </w:r>
      <w:r w:rsidR="00DF567C">
        <w:t>1,</w:t>
      </w:r>
      <w:r w:rsidR="000A554B">
        <w:t>910,585</w:t>
      </w:r>
      <w:r>
        <w:t xml:space="preserve"> or </w:t>
      </w:r>
      <w:r w:rsidR="000A554B">
        <w:t>8.86</w:t>
      </w:r>
      <w:r>
        <w:t xml:space="preserve">%. This is primarily due </w:t>
      </w:r>
      <w:r w:rsidR="007704BE">
        <w:t xml:space="preserve">to </w:t>
      </w:r>
      <w:r w:rsidR="00D87CFD">
        <w:t xml:space="preserve">the </w:t>
      </w:r>
      <w:r w:rsidR="00D87CFD" w:rsidRPr="00D87CFD">
        <w:t>increase to DNSSAB’s Homelessness Prevention Program (HPP) annual allocation from $2,339,100 to $5,303,700</w:t>
      </w:r>
      <w:r w:rsidR="00AE0B19">
        <w:t xml:space="preserve">. </w:t>
      </w:r>
    </w:p>
    <w:p w14:paraId="3DDC2756" w14:textId="13F6A187" w:rsidR="009562A2" w:rsidRDefault="009562A2" w:rsidP="00EC5568">
      <w:pPr>
        <w:pStyle w:val="ListParagraph"/>
        <w:numPr>
          <w:ilvl w:val="0"/>
          <w:numId w:val="15"/>
        </w:numPr>
      </w:pPr>
      <w:r w:rsidRPr="009562A2">
        <w:lastRenderedPageBreak/>
        <w:t>Housing Services is funded by the Ministry of Municipal Affairs and Housing (MMAH), the Federal government, and the municipal levy. There are many different program components that make up the department budget. The below table describes how each are funded (some similar programs are combined for simplicity):</w:t>
      </w:r>
    </w:p>
    <w:tbl>
      <w:tblPr>
        <w:tblStyle w:val="GridTable4-Accent1"/>
        <w:tblW w:w="9356" w:type="dxa"/>
        <w:tblInd w:w="-5" w:type="dxa"/>
        <w:tblLook w:val="04A0" w:firstRow="1" w:lastRow="0" w:firstColumn="1" w:lastColumn="0" w:noHBand="0" w:noVBand="1"/>
      </w:tblPr>
      <w:tblGrid>
        <w:gridCol w:w="3261"/>
        <w:gridCol w:w="6095"/>
      </w:tblGrid>
      <w:tr w:rsidR="009562A2" w14:paraId="161FB8A7" w14:textId="77777777" w:rsidTr="00602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606233" w14:textId="77777777" w:rsidR="009562A2" w:rsidRDefault="009562A2" w:rsidP="00FA5B5C">
            <w:pPr>
              <w:widowControl w:val="0"/>
              <w:autoSpaceDE w:val="0"/>
              <w:autoSpaceDN w:val="0"/>
              <w:adjustRightInd w:val="0"/>
              <w:jc w:val="both"/>
              <w:rPr>
                <w:rFonts w:ascii="Arial" w:eastAsia="Times New Roman" w:hAnsi="Arial" w:cs="Arial"/>
                <w:bCs w:val="0"/>
                <w:sz w:val="24"/>
                <w:szCs w:val="24"/>
                <w:lang w:val="en-GB"/>
              </w:rPr>
            </w:pPr>
            <w:r>
              <w:rPr>
                <w:rFonts w:ascii="Arial" w:eastAsia="Times New Roman" w:hAnsi="Arial" w:cs="Arial"/>
                <w:bCs w:val="0"/>
                <w:sz w:val="24"/>
                <w:szCs w:val="24"/>
                <w:lang w:val="en-GB"/>
              </w:rPr>
              <w:t>Program</w:t>
            </w:r>
          </w:p>
        </w:tc>
        <w:tc>
          <w:tcPr>
            <w:tcW w:w="6095" w:type="dxa"/>
          </w:tcPr>
          <w:p w14:paraId="1EA409FC" w14:textId="77777777" w:rsidR="009562A2" w:rsidRDefault="009562A2" w:rsidP="00FA5B5C">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val="en-GB"/>
              </w:rPr>
            </w:pPr>
            <w:r>
              <w:rPr>
                <w:rFonts w:ascii="Arial" w:eastAsia="Times New Roman" w:hAnsi="Arial" w:cs="Arial"/>
                <w:bCs w:val="0"/>
                <w:sz w:val="24"/>
                <w:szCs w:val="24"/>
                <w:lang w:val="en-GB"/>
              </w:rPr>
              <w:t>Funding Source</w:t>
            </w:r>
          </w:p>
        </w:tc>
      </w:tr>
      <w:tr w:rsidR="009562A2" w14:paraId="3C387E98" w14:textId="77777777" w:rsidTr="00602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FBA9AC" w14:textId="77777777" w:rsidR="009562A2" w:rsidRDefault="009562A2"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Social Housing Subsidies</w:t>
            </w:r>
          </w:p>
        </w:tc>
        <w:tc>
          <w:tcPr>
            <w:tcW w:w="6095" w:type="dxa"/>
          </w:tcPr>
          <w:p w14:paraId="26A8FE82" w14:textId="77777777" w:rsidR="009562A2" w:rsidRDefault="009562A2" w:rsidP="007A70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 xml:space="preserve">There is some legacy federal funding that is tied to operating agreements/mortgages; however, </w:t>
            </w:r>
            <w:proofErr w:type="gramStart"/>
            <w:r>
              <w:rPr>
                <w:rFonts w:ascii="Arial" w:eastAsia="Times New Roman" w:hAnsi="Arial" w:cs="Arial"/>
                <w:bCs/>
                <w:sz w:val="24"/>
                <w:szCs w:val="24"/>
                <w:lang w:val="en-GB"/>
              </w:rPr>
              <w:t>the majority of</w:t>
            </w:r>
            <w:proofErr w:type="gramEnd"/>
            <w:r>
              <w:rPr>
                <w:rFonts w:ascii="Arial" w:eastAsia="Times New Roman" w:hAnsi="Arial" w:cs="Arial"/>
                <w:bCs/>
                <w:sz w:val="24"/>
                <w:szCs w:val="24"/>
                <w:lang w:val="en-GB"/>
              </w:rPr>
              <w:t xml:space="preserve"> this budget is funded by the municipal levy. The levy contribution is calculated as the difference between the required subsidies and the federal funding. </w:t>
            </w:r>
          </w:p>
        </w:tc>
      </w:tr>
      <w:tr w:rsidR="009562A2" w14:paraId="72297DE1" w14:textId="77777777" w:rsidTr="0060279C">
        <w:tc>
          <w:tcPr>
            <w:cnfStyle w:val="001000000000" w:firstRow="0" w:lastRow="0" w:firstColumn="1" w:lastColumn="0" w:oddVBand="0" w:evenVBand="0" w:oddHBand="0" w:evenHBand="0" w:firstRowFirstColumn="0" w:firstRowLastColumn="0" w:lastRowFirstColumn="0" w:lastRowLastColumn="0"/>
            <w:tcW w:w="3261" w:type="dxa"/>
          </w:tcPr>
          <w:p w14:paraId="5E5D5DFD" w14:textId="77777777" w:rsidR="009562A2" w:rsidRDefault="009562A2"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Commercial Rent Supplements</w:t>
            </w:r>
          </w:p>
        </w:tc>
        <w:tc>
          <w:tcPr>
            <w:tcW w:w="6095" w:type="dxa"/>
          </w:tcPr>
          <w:p w14:paraId="3EEBABC5" w14:textId="77777777" w:rsidR="009562A2" w:rsidRDefault="009562A2" w:rsidP="007A70F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proofErr w:type="gramStart"/>
            <w:r>
              <w:rPr>
                <w:rFonts w:ascii="Arial" w:eastAsia="Times New Roman" w:hAnsi="Arial" w:cs="Arial"/>
                <w:bCs/>
                <w:sz w:val="24"/>
                <w:szCs w:val="24"/>
                <w:lang w:val="en-GB"/>
              </w:rPr>
              <w:t>Similar to</w:t>
            </w:r>
            <w:proofErr w:type="gramEnd"/>
            <w:r>
              <w:rPr>
                <w:rFonts w:ascii="Arial" w:eastAsia="Times New Roman" w:hAnsi="Arial" w:cs="Arial"/>
                <w:bCs/>
                <w:sz w:val="24"/>
                <w:szCs w:val="24"/>
                <w:lang w:val="en-GB"/>
              </w:rPr>
              <w:t xml:space="preserve"> social housing subsidies, there is some legacy federal funding; however, the majority of this budget is funded by the municipal levy. The levy contribution is calculated as the difference between the required rent supplements and the federal funding.</w:t>
            </w:r>
          </w:p>
        </w:tc>
      </w:tr>
      <w:tr w:rsidR="009562A2" w14:paraId="7462A214" w14:textId="77777777" w:rsidTr="00602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CCF0E5C" w14:textId="77777777" w:rsidR="009562A2" w:rsidRDefault="009562A2"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Portable Housing Benefit (Rent Supplement)</w:t>
            </w:r>
          </w:p>
        </w:tc>
        <w:tc>
          <w:tcPr>
            <w:tcW w:w="6095" w:type="dxa"/>
          </w:tcPr>
          <w:p w14:paraId="6E66AF5E" w14:textId="77777777" w:rsidR="009562A2" w:rsidRDefault="009562A2" w:rsidP="007A70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the municipal levy</w:t>
            </w:r>
          </w:p>
        </w:tc>
      </w:tr>
      <w:tr w:rsidR="009562A2" w14:paraId="1A3C2A58" w14:textId="77777777" w:rsidTr="0060279C">
        <w:tc>
          <w:tcPr>
            <w:cnfStyle w:val="001000000000" w:firstRow="0" w:lastRow="0" w:firstColumn="1" w:lastColumn="0" w:oddVBand="0" w:evenVBand="0" w:oddHBand="0" w:evenHBand="0" w:firstRowFirstColumn="0" w:firstRowLastColumn="0" w:lastRowFirstColumn="0" w:lastRowLastColumn="0"/>
            <w:tcW w:w="3261" w:type="dxa"/>
          </w:tcPr>
          <w:p w14:paraId="06F0E011" w14:textId="77777777" w:rsidR="009562A2" w:rsidRDefault="009562A2" w:rsidP="00FA5B5C">
            <w:pPr>
              <w:widowControl w:val="0"/>
              <w:autoSpaceDE w:val="0"/>
              <w:autoSpaceDN w:val="0"/>
              <w:adjustRightInd w:val="0"/>
              <w:rPr>
                <w:rFonts w:ascii="Arial" w:eastAsia="Times New Roman" w:hAnsi="Arial" w:cs="Arial"/>
                <w:bCs w:val="0"/>
                <w:sz w:val="24"/>
                <w:szCs w:val="24"/>
                <w:lang w:val="en-GB"/>
              </w:rPr>
            </w:pPr>
            <w:r>
              <w:rPr>
                <w:rFonts w:ascii="Arial" w:eastAsia="Times New Roman" w:hAnsi="Arial" w:cs="Arial"/>
                <w:bCs w:val="0"/>
                <w:sz w:val="24"/>
                <w:szCs w:val="24"/>
                <w:lang w:val="en-GB"/>
              </w:rPr>
              <w:t>Homelessness Prevention Program (HPP)</w:t>
            </w:r>
          </w:p>
        </w:tc>
        <w:tc>
          <w:tcPr>
            <w:tcW w:w="6095" w:type="dxa"/>
          </w:tcPr>
          <w:p w14:paraId="61D096F5" w14:textId="77777777" w:rsidR="009562A2" w:rsidRDefault="009562A2" w:rsidP="007A70F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MMAH</w:t>
            </w:r>
          </w:p>
        </w:tc>
      </w:tr>
      <w:tr w:rsidR="009562A2" w14:paraId="5B61403C" w14:textId="77777777" w:rsidTr="00602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3136AE" w14:textId="77777777" w:rsidR="009562A2" w:rsidRDefault="009562A2" w:rsidP="00FA5B5C">
            <w:pPr>
              <w:widowControl w:val="0"/>
              <w:autoSpaceDE w:val="0"/>
              <w:autoSpaceDN w:val="0"/>
              <w:adjustRightInd w:val="0"/>
              <w:rPr>
                <w:rFonts w:ascii="Arial" w:eastAsia="Times New Roman" w:hAnsi="Arial" w:cs="Arial"/>
                <w:bCs w:val="0"/>
                <w:sz w:val="24"/>
                <w:szCs w:val="24"/>
                <w:lang w:val="en-GB"/>
              </w:rPr>
            </w:pPr>
            <w:r w:rsidRPr="007016BB">
              <w:rPr>
                <w:rFonts w:ascii="Arial" w:eastAsia="Times New Roman" w:hAnsi="Arial" w:cs="Arial"/>
                <w:bCs w:val="0"/>
                <w:sz w:val="24"/>
                <w:szCs w:val="24"/>
                <w:lang w:val="en-GB"/>
              </w:rPr>
              <w:t>Canada-Ontario Community Housing Initiative</w:t>
            </w:r>
            <w:r>
              <w:rPr>
                <w:rFonts w:ascii="Arial" w:eastAsia="Times New Roman" w:hAnsi="Arial" w:cs="Arial"/>
                <w:bCs w:val="0"/>
                <w:sz w:val="24"/>
                <w:szCs w:val="24"/>
                <w:lang w:val="en-GB"/>
              </w:rPr>
              <w:t xml:space="preserve"> (COCHI)</w:t>
            </w:r>
          </w:p>
        </w:tc>
        <w:tc>
          <w:tcPr>
            <w:tcW w:w="6095" w:type="dxa"/>
          </w:tcPr>
          <w:p w14:paraId="280B7A58" w14:textId="77777777" w:rsidR="009562A2" w:rsidRDefault="009562A2" w:rsidP="007A70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MMAH through a provincial and federal bi-lateral agreement</w:t>
            </w:r>
          </w:p>
        </w:tc>
      </w:tr>
      <w:tr w:rsidR="009562A2" w14:paraId="50B77406" w14:textId="77777777" w:rsidTr="0060279C">
        <w:tc>
          <w:tcPr>
            <w:cnfStyle w:val="001000000000" w:firstRow="0" w:lastRow="0" w:firstColumn="1" w:lastColumn="0" w:oddVBand="0" w:evenVBand="0" w:oddHBand="0" w:evenHBand="0" w:firstRowFirstColumn="0" w:firstRowLastColumn="0" w:lastRowFirstColumn="0" w:lastRowLastColumn="0"/>
            <w:tcW w:w="3261" w:type="dxa"/>
          </w:tcPr>
          <w:p w14:paraId="3CEA1577" w14:textId="77777777" w:rsidR="009562A2" w:rsidRPr="007016BB" w:rsidRDefault="009562A2" w:rsidP="00FA5B5C">
            <w:pPr>
              <w:widowControl w:val="0"/>
              <w:autoSpaceDE w:val="0"/>
              <w:autoSpaceDN w:val="0"/>
              <w:adjustRightInd w:val="0"/>
              <w:rPr>
                <w:rFonts w:ascii="Arial" w:eastAsia="Times New Roman" w:hAnsi="Arial" w:cs="Arial"/>
                <w:sz w:val="24"/>
                <w:szCs w:val="24"/>
                <w:lang w:val="en-GB"/>
              </w:rPr>
            </w:pPr>
            <w:r w:rsidRPr="007016BB">
              <w:rPr>
                <w:rFonts w:ascii="Arial" w:eastAsia="Times New Roman" w:hAnsi="Arial" w:cs="Arial"/>
                <w:sz w:val="24"/>
                <w:szCs w:val="24"/>
                <w:lang w:val="en-GB"/>
              </w:rPr>
              <w:t>Ontario Priorities Housing Initiative</w:t>
            </w:r>
            <w:r>
              <w:rPr>
                <w:rFonts w:ascii="Arial" w:eastAsia="Times New Roman" w:hAnsi="Arial" w:cs="Arial"/>
                <w:sz w:val="24"/>
                <w:szCs w:val="24"/>
                <w:lang w:val="en-GB"/>
              </w:rPr>
              <w:t xml:space="preserve"> (OPHI)</w:t>
            </w:r>
          </w:p>
        </w:tc>
        <w:tc>
          <w:tcPr>
            <w:tcW w:w="6095" w:type="dxa"/>
          </w:tcPr>
          <w:p w14:paraId="7B463DA2" w14:textId="77777777" w:rsidR="009562A2" w:rsidRDefault="009562A2" w:rsidP="007A70F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MMAH through a provincial and federal bi-lateral agreement</w:t>
            </w:r>
          </w:p>
        </w:tc>
      </w:tr>
      <w:tr w:rsidR="009562A2" w14:paraId="6BA3F69E" w14:textId="77777777" w:rsidTr="00602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EAF3E8" w14:textId="77777777" w:rsidR="009562A2" w:rsidRPr="007016BB" w:rsidRDefault="009562A2" w:rsidP="00FA5B5C">
            <w:pPr>
              <w:widowControl w:val="0"/>
              <w:autoSpaceDE w:val="0"/>
              <w:autoSpaceDN w:val="0"/>
              <w:adjustRightInd w:val="0"/>
              <w:rPr>
                <w:rFonts w:ascii="Arial" w:eastAsia="Times New Roman" w:hAnsi="Arial" w:cs="Arial"/>
                <w:sz w:val="24"/>
                <w:szCs w:val="24"/>
                <w:lang w:val="en-GB"/>
              </w:rPr>
            </w:pPr>
            <w:r w:rsidRPr="007016BB">
              <w:rPr>
                <w:rFonts w:ascii="Arial" w:eastAsia="Times New Roman" w:hAnsi="Arial" w:cs="Arial"/>
                <w:sz w:val="24"/>
                <w:szCs w:val="24"/>
                <w:lang w:val="en-GB"/>
              </w:rPr>
              <w:t>Canada-Ontario Housing Benefit</w:t>
            </w:r>
            <w:r>
              <w:rPr>
                <w:rFonts w:ascii="Arial" w:eastAsia="Times New Roman" w:hAnsi="Arial" w:cs="Arial"/>
                <w:sz w:val="24"/>
                <w:szCs w:val="24"/>
                <w:lang w:val="en-GB"/>
              </w:rPr>
              <w:t xml:space="preserve"> (COHB)</w:t>
            </w:r>
          </w:p>
        </w:tc>
        <w:tc>
          <w:tcPr>
            <w:tcW w:w="6095" w:type="dxa"/>
          </w:tcPr>
          <w:p w14:paraId="589BCA12" w14:textId="77777777" w:rsidR="009562A2" w:rsidRDefault="009562A2" w:rsidP="007A70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funded by MMAH through a provincial and federal bi-lateral agreement</w:t>
            </w:r>
          </w:p>
        </w:tc>
      </w:tr>
      <w:tr w:rsidR="009562A2" w14:paraId="735A21CC" w14:textId="77777777" w:rsidTr="0060279C">
        <w:tc>
          <w:tcPr>
            <w:cnfStyle w:val="001000000000" w:firstRow="0" w:lastRow="0" w:firstColumn="1" w:lastColumn="0" w:oddVBand="0" w:evenVBand="0" w:oddHBand="0" w:evenHBand="0" w:firstRowFirstColumn="0" w:firstRowLastColumn="0" w:lastRowFirstColumn="0" w:lastRowLastColumn="0"/>
            <w:tcW w:w="3261" w:type="dxa"/>
          </w:tcPr>
          <w:p w14:paraId="0C3902B0" w14:textId="77777777" w:rsidR="009562A2" w:rsidRPr="007016BB" w:rsidRDefault="009562A2" w:rsidP="00FA5B5C">
            <w:pPr>
              <w:widowControl w:val="0"/>
              <w:autoSpaceDE w:val="0"/>
              <w:autoSpaceDN w:val="0"/>
              <w:adjustRightInd w:val="0"/>
              <w:rPr>
                <w:rFonts w:ascii="Arial" w:eastAsia="Times New Roman" w:hAnsi="Arial" w:cs="Arial"/>
                <w:sz w:val="24"/>
                <w:szCs w:val="24"/>
                <w:lang w:val="en-GB"/>
              </w:rPr>
            </w:pPr>
            <w:r>
              <w:rPr>
                <w:rFonts w:ascii="Arial" w:eastAsia="Times New Roman" w:hAnsi="Arial" w:cs="Arial"/>
                <w:sz w:val="24"/>
                <w:szCs w:val="24"/>
                <w:lang w:val="en-GB"/>
              </w:rPr>
              <w:t>Reaching Home</w:t>
            </w:r>
          </w:p>
        </w:tc>
        <w:tc>
          <w:tcPr>
            <w:tcW w:w="6095" w:type="dxa"/>
          </w:tcPr>
          <w:p w14:paraId="0228D403" w14:textId="77777777" w:rsidR="009562A2" w:rsidRDefault="009562A2" w:rsidP="007A70F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100% federally funded through Infrastructure Canada</w:t>
            </w:r>
          </w:p>
        </w:tc>
      </w:tr>
      <w:tr w:rsidR="009562A2" w14:paraId="6B462901" w14:textId="77777777" w:rsidTr="00602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CF7D7B" w14:textId="77777777" w:rsidR="009562A2" w:rsidRPr="007016BB" w:rsidRDefault="009562A2" w:rsidP="00FA5B5C">
            <w:pPr>
              <w:widowControl w:val="0"/>
              <w:autoSpaceDE w:val="0"/>
              <w:autoSpaceDN w:val="0"/>
              <w:adjustRightInd w:val="0"/>
              <w:rPr>
                <w:rFonts w:ascii="Arial" w:eastAsia="Times New Roman" w:hAnsi="Arial" w:cs="Arial"/>
                <w:sz w:val="24"/>
                <w:szCs w:val="24"/>
                <w:lang w:val="en-GB"/>
              </w:rPr>
            </w:pPr>
            <w:r>
              <w:rPr>
                <w:rFonts w:ascii="Arial" w:eastAsia="Times New Roman" w:hAnsi="Arial" w:cs="Arial"/>
                <w:sz w:val="24"/>
                <w:szCs w:val="24"/>
                <w:lang w:val="en-GB"/>
              </w:rPr>
              <w:t>Northern Pines</w:t>
            </w:r>
          </w:p>
        </w:tc>
        <w:tc>
          <w:tcPr>
            <w:tcW w:w="6095" w:type="dxa"/>
          </w:tcPr>
          <w:p w14:paraId="2A0DB785" w14:textId="77777777" w:rsidR="009562A2" w:rsidRDefault="009562A2" w:rsidP="007A70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Combination of provincial funding through HPP and the municipal levy</w:t>
            </w:r>
          </w:p>
        </w:tc>
      </w:tr>
      <w:tr w:rsidR="009562A2" w14:paraId="0DF55491" w14:textId="77777777" w:rsidTr="0060279C">
        <w:tc>
          <w:tcPr>
            <w:cnfStyle w:val="001000000000" w:firstRow="0" w:lastRow="0" w:firstColumn="1" w:lastColumn="0" w:oddVBand="0" w:evenVBand="0" w:oddHBand="0" w:evenHBand="0" w:firstRowFirstColumn="0" w:firstRowLastColumn="0" w:lastRowFirstColumn="0" w:lastRowLastColumn="0"/>
            <w:tcW w:w="3261" w:type="dxa"/>
          </w:tcPr>
          <w:p w14:paraId="7D9FF456" w14:textId="77777777" w:rsidR="009562A2" w:rsidRPr="007016BB" w:rsidRDefault="009562A2" w:rsidP="00FA5B5C">
            <w:pPr>
              <w:widowControl w:val="0"/>
              <w:autoSpaceDE w:val="0"/>
              <w:autoSpaceDN w:val="0"/>
              <w:adjustRightInd w:val="0"/>
              <w:rPr>
                <w:rFonts w:ascii="Arial" w:eastAsia="Times New Roman" w:hAnsi="Arial" w:cs="Arial"/>
                <w:sz w:val="24"/>
                <w:szCs w:val="24"/>
                <w:lang w:val="en-GB"/>
              </w:rPr>
            </w:pPr>
            <w:r>
              <w:rPr>
                <w:rFonts w:ascii="Arial" w:eastAsia="Times New Roman" w:hAnsi="Arial" w:cs="Arial"/>
                <w:sz w:val="24"/>
                <w:szCs w:val="24"/>
                <w:lang w:val="en-GB"/>
              </w:rPr>
              <w:t>Low Barrier Shelter</w:t>
            </w:r>
          </w:p>
        </w:tc>
        <w:tc>
          <w:tcPr>
            <w:tcW w:w="6095" w:type="dxa"/>
          </w:tcPr>
          <w:p w14:paraId="7C6D7383" w14:textId="77777777" w:rsidR="009562A2" w:rsidRDefault="009562A2" w:rsidP="007A70F6">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Combination of provincial funding through HPP and the municipal levy</w:t>
            </w:r>
          </w:p>
        </w:tc>
      </w:tr>
      <w:tr w:rsidR="009562A2" w14:paraId="2CF1B2B6" w14:textId="77777777" w:rsidTr="006027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7B9E86A" w14:textId="77777777" w:rsidR="009562A2" w:rsidRDefault="009562A2" w:rsidP="00FA5B5C">
            <w:pPr>
              <w:widowControl w:val="0"/>
              <w:autoSpaceDE w:val="0"/>
              <w:autoSpaceDN w:val="0"/>
              <w:adjustRightInd w:val="0"/>
              <w:rPr>
                <w:rFonts w:ascii="Arial" w:eastAsia="Times New Roman" w:hAnsi="Arial" w:cs="Arial"/>
                <w:sz w:val="24"/>
                <w:szCs w:val="24"/>
                <w:lang w:val="en-GB"/>
              </w:rPr>
            </w:pPr>
            <w:r>
              <w:rPr>
                <w:rFonts w:ascii="Arial" w:eastAsia="Times New Roman" w:hAnsi="Arial" w:cs="Arial"/>
                <w:sz w:val="24"/>
                <w:szCs w:val="24"/>
                <w:lang w:val="en-GB"/>
              </w:rPr>
              <w:t>Program Delivery</w:t>
            </w:r>
          </w:p>
        </w:tc>
        <w:tc>
          <w:tcPr>
            <w:tcW w:w="6095" w:type="dxa"/>
          </w:tcPr>
          <w:p w14:paraId="5215E4A7" w14:textId="77777777" w:rsidR="009562A2" w:rsidRDefault="009562A2" w:rsidP="007A70F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lang w:val="en-GB"/>
              </w:rPr>
            </w:pPr>
            <w:r>
              <w:rPr>
                <w:rFonts w:ascii="Arial" w:eastAsia="Times New Roman" w:hAnsi="Arial" w:cs="Arial"/>
                <w:bCs/>
                <w:sz w:val="24"/>
                <w:szCs w:val="24"/>
                <w:lang w:val="en-GB"/>
              </w:rPr>
              <w:t>Combination of provincial funding through administration allocations for the various provincial/federal funded programs (HPP, COCHI, OPHI, COHB, and Reaching Home) and the municipal levy</w:t>
            </w:r>
          </w:p>
        </w:tc>
      </w:tr>
    </w:tbl>
    <w:p w14:paraId="39A7A218" w14:textId="77777777" w:rsidR="009562A2" w:rsidRDefault="009562A2" w:rsidP="009562A2"/>
    <w:p w14:paraId="0C147E04" w14:textId="77777777" w:rsidR="0060279C" w:rsidRDefault="0060279C">
      <w:pPr>
        <w:rPr>
          <w:rFonts w:asciiTheme="majorHAnsi" w:eastAsiaTheme="majorEastAsia" w:hAnsiTheme="majorHAnsi" w:cstheme="majorBidi"/>
          <w:b/>
          <w:bCs/>
          <w:i/>
          <w:iCs/>
          <w:color w:val="4F81BD" w:themeColor="accent1"/>
        </w:rPr>
      </w:pPr>
      <w:r>
        <w:br w:type="page"/>
      </w:r>
    </w:p>
    <w:p w14:paraId="724A73A6" w14:textId="0BC1277C" w:rsidR="004C28F1" w:rsidRDefault="00EC5568" w:rsidP="00CC6AD0">
      <w:pPr>
        <w:pStyle w:val="Heading4"/>
        <w:spacing w:after="100" w:afterAutospacing="1"/>
      </w:pPr>
      <w:r>
        <w:lastRenderedPageBreak/>
        <w:t>3.</w:t>
      </w:r>
      <w:r w:rsidR="00281C0F">
        <w:t>4</w:t>
      </w:r>
      <w:r>
        <w:t>.</w:t>
      </w:r>
      <w:r w:rsidR="00EA1DC1">
        <w:t>1</w:t>
      </w:r>
      <w:r>
        <w:t xml:space="preserve"> Housing Services Programs</w:t>
      </w:r>
    </w:p>
    <w:p w14:paraId="6093CD4B" w14:textId="05A551A2" w:rsidR="00006621" w:rsidRDefault="004C28F1" w:rsidP="000C6A62">
      <w:pPr>
        <w:pStyle w:val="ListParagraph"/>
        <w:numPr>
          <w:ilvl w:val="0"/>
          <w:numId w:val="15"/>
        </w:numPr>
      </w:pPr>
      <w:r>
        <w:t>Funding for social housing programs is generally determined by adjusting previous year expenses by provincially legislated cost indices. There is base federal/provincial funding that is tied to operating agreements</w:t>
      </w:r>
      <w:r w:rsidR="009B381D">
        <w:t xml:space="preserve"> and</w:t>
      </w:r>
      <w:r>
        <w:t xml:space="preserve"> the municipal levy funds the difference between the </w:t>
      </w:r>
      <w:r w:rsidR="00102245">
        <w:t>required subsidies</w:t>
      </w:r>
      <w:r>
        <w:t xml:space="preserve"> and federal/provincial funding.</w:t>
      </w:r>
      <w:r w:rsidR="00BB056C">
        <w:t xml:space="preserve"> The provincial/federal funding does not change year over year (except decreasing with the expiration of operating agreements), therefore</w:t>
      </w:r>
      <w:r w:rsidR="00BE3708">
        <w:t xml:space="preserve"> </w:t>
      </w:r>
      <w:r w:rsidR="00F65097">
        <w:t xml:space="preserve">in a typical year, </w:t>
      </w:r>
      <w:r w:rsidR="00BE3708">
        <w:t>the proportion of municipal funding required to support social housing pro</w:t>
      </w:r>
      <w:r w:rsidR="00B30908">
        <w:t xml:space="preserve">viders gradually increases over time. </w:t>
      </w:r>
      <w:r w:rsidR="00F65097">
        <w:t>This is not the case in 2024 as several mortgages</w:t>
      </w:r>
      <w:r w:rsidR="0060279C">
        <w:t>/operating agreements are expiring</w:t>
      </w:r>
      <w:r w:rsidR="00F65097">
        <w:t>, reducing the required subsidies in 2024.</w:t>
      </w:r>
      <w:r w:rsidR="00B30908">
        <w:t xml:space="preserve"> </w:t>
      </w:r>
    </w:p>
    <w:p w14:paraId="6065E5DE" w14:textId="77777777" w:rsidR="000C6A62" w:rsidRDefault="000C6A62" w:rsidP="000C6A62">
      <w:pPr>
        <w:pStyle w:val="ListParagraph"/>
      </w:pPr>
    </w:p>
    <w:p w14:paraId="20D62998" w14:textId="02ADB92A" w:rsidR="00D4623F" w:rsidRDefault="00AD1185" w:rsidP="00D4623F">
      <w:pPr>
        <w:pStyle w:val="ListParagraph"/>
        <w:numPr>
          <w:ilvl w:val="0"/>
          <w:numId w:val="15"/>
        </w:numPr>
      </w:pPr>
      <w:r>
        <w:t>Subsidy requirements</w:t>
      </w:r>
      <w:r w:rsidR="00D4623F">
        <w:t xml:space="preserve"> for Nipissing District Housing Corporation’s </w:t>
      </w:r>
      <w:r w:rsidR="00E8215C">
        <w:t xml:space="preserve">(NDHC) </w:t>
      </w:r>
      <w:r w:rsidR="001D5F5A">
        <w:t>P</w:t>
      </w:r>
      <w:r w:rsidR="00D4623F">
        <w:t xml:space="preserve">hase III have </w:t>
      </w:r>
      <w:r w:rsidR="000C6A62">
        <w:t>de</w:t>
      </w:r>
      <w:r w:rsidR="00D4623F">
        <w:t xml:space="preserve">creased by </w:t>
      </w:r>
      <w:r w:rsidR="002331CC">
        <w:t>$</w:t>
      </w:r>
      <w:r w:rsidR="000C6A62">
        <w:t>22,216, however, there is a $129,444 increase to the municipal levy as legacy federal funding for this program decreased by $151,660 for 2024</w:t>
      </w:r>
      <w:r w:rsidR="00D4623F">
        <w:t xml:space="preserve">. </w:t>
      </w:r>
      <w:r w:rsidR="000C6A62">
        <w:t>The federal funding that helps offset these costs is gradually being reduced each year with 2029 being the last year with federal funding.</w:t>
      </w:r>
    </w:p>
    <w:p w14:paraId="53066709" w14:textId="77777777" w:rsidR="00B35B29" w:rsidRDefault="00B35B29" w:rsidP="00B35B29">
      <w:pPr>
        <w:pStyle w:val="ListParagraph"/>
      </w:pPr>
    </w:p>
    <w:p w14:paraId="3E9A04E5" w14:textId="66BB672C" w:rsidR="00977A47" w:rsidRDefault="00DD6038" w:rsidP="00DD6038">
      <w:pPr>
        <w:pStyle w:val="ListParagraph"/>
        <w:numPr>
          <w:ilvl w:val="0"/>
          <w:numId w:val="15"/>
        </w:numPr>
      </w:pPr>
      <w:r w:rsidRPr="00DD6038">
        <w:t>Leg</w:t>
      </w:r>
      <w:r>
        <w:t>islation outlines the DNSSAB’s service level s</w:t>
      </w:r>
      <w:r w:rsidRPr="00DD6038">
        <w:t>tandards</w:t>
      </w:r>
      <w:r>
        <w:t xml:space="preserve"> (SLS)</w:t>
      </w:r>
      <w:r w:rsidR="00C74A24">
        <w:t xml:space="preserve"> which details</w:t>
      </w:r>
      <w:r w:rsidRPr="00DD6038">
        <w:t xml:space="preserve"> the specific number of Rent Geared</w:t>
      </w:r>
      <w:r w:rsidR="002C4139">
        <w:t>-to-</w:t>
      </w:r>
      <w:r w:rsidRPr="00DD6038">
        <w:t>Income</w:t>
      </w:r>
      <w:r w:rsidR="002C4139">
        <w:t xml:space="preserve"> (RGI)</w:t>
      </w:r>
      <w:r w:rsidRPr="00DD6038">
        <w:t xml:space="preserve"> units </w:t>
      </w:r>
      <w:r w:rsidR="009E5905">
        <w:t>that</w:t>
      </w:r>
      <w:r w:rsidRPr="00DD6038">
        <w:t xml:space="preserve"> are required to</w:t>
      </w:r>
      <w:r w:rsidR="009E5905">
        <w:t xml:space="preserve"> be</w:t>
      </w:r>
      <w:r w:rsidRPr="00DD6038">
        <w:t xml:space="preserve"> fund</w:t>
      </w:r>
      <w:r w:rsidR="009E5905">
        <w:t>ed</w:t>
      </w:r>
      <w:r w:rsidRPr="00DD6038">
        <w:t xml:space="preserve">.  </w:t>
      </w:r>
      <w:r w:rsidR="009E5905">
        <w:t>DNSSAB is</w:t>
      </w:r>
      <w:r w:rsidRPr="00DD6038">
        <w:t xml:space="preserve"> currently not meeting this obligation and </w:t>
      </w:r>
      <w:r w:rsidR="009B381D">
        <w:t>is</w:t>
      </w:r>
      <w:r w:rsidRPr="00DD6038">
        <w:t xml:space="preserve"> short </w:t>
      </w:r>
      <w:r w:rsidRPr="00E26A12">
        <w:t>approximately 2</w:t>
      </w:r>
      <w:r w:rsidR="00924840">
        <w:t>33</w:t>
      </w:r>
      <w:r w:rsidRPr="00DD6038">
        <w:t xml:space="preserve"> </w:t>
      </w:r>
      <w:r w:rsidR="002C4139">
        <w:t xml:space="preserve">RGI housing </w:t>
      </w:r>
      <w:r w:rsidRPr="00DD6038">
        <w:t>units</w:t>
      </w:r>
      <w:r w:rsidR="00E26A12">
        <w:t xml:space="preserve"> as of December 31, 202</w:t>
      </w:r>
      <w:r w:rsidR="00924840">
        <w:t>2</w:t>
      </w:r>
      <w:r w:rsidRPr="00DD6038">
        <w:t>.</w:t>
      </w:r>
      <w:r>
        <w:t xml:space="preserve"> The SLS Action Plan sees the DNS</w:t>
      </w:r>
      <w:r w:rsidR="001F77F1">
        <w:t>S</w:t>
      </w:r>
      <w:r>
        <w:t xml:space="preserve">AB making gradual investments over a </w:t>
      </w:r>
      <w:r w:rsidR="009E2239">
        <w:t>10-year</w:t>
      </w:r>
      <w:r>
        <w:t xml:space="preserve"> period to address the SLS shortfall.</w:t>
      </w:r>
      <w:r w:rsidR="004757EE">
        <w:t xml:space="preserve"> This is the reasoning for the </w:t>
      </w:r>
      <w:r w:rsidR="007761AE">
        <w:t xml:space="preserve">net </w:t>
      </w:r>
      <w:r w:rsidR="004757EE">
        <w:t>increase to the Commercial R</w:t>
      </w:r>
      <w:r w:rsidR="009E5905">
        <w:t>ent S</w:t>
      </w:r>
      <w:r w:rsidR="004757EE">
        <w:t xml:space="preserve">upplement and Portable Housing Benefit budgets. </w:t>
      </w:r>
      <w:proofErr w:type="gramStart"/>
      <w:r w:rsidR="004757EE">
        <w:t>Both of these</w:t>
      </w:r>
      <w:proofErr w:type="gramEnd"/>
      <w:r w:rsidR="004757EE">
        <w:t xml:space="preserve"> programs provide rent </w:t>
      </w:r>
      <w:r w:rsidR="00C653C9">
        <w:t>subsidies</w:t>
      </w:r>
      <w:r w:rsidR="004757EE">
        <w:t xml:space="preserve"> to </w:t>
      </w:r>
      <w:r w:rsidR="009E5905">
        <w:t>clients</w:t>
      </w:r>
      <w:r w:rsidR="00267422">
        <w:t>,</w:t>
      </w:r>
      <w:r w:rsidR="009E5905">
        <w:t xml:space="preserve"> which count towards the SLS.</w:t>
      </w:r>
      <w:r w:rsidR="00354F56">
        <w:t xml:space="preserve"> Increases to rent subsidies are funded through the municipal levy.</w:t>
      </w:r>
      <w:r w:rsidR="00E26A12">
        <w:t xml:space="preserve"> Signif</w:t>
      </w:r>
      <w:r w:rsidR="00977A47">
        <w:t>icant strides have been made</w:t>
      </w:r>
      <w:r w:rsidR="00E26A12">
        <w:t xml:space="preserve"> recent</w:t>
      </w:r>
      <w:r w:rsidR="00977A47">
        <w:t xml:space="preserve">ly that are not reflected in the December 31, </w:t>
      </w:r>
      <w:proofErr w:type="gramStart"/>
      <w:r w:rsidR="00977A47">
        <w:t>202</w:t>
      </w:r>
      <w:r w:rsidR="00924840">
        <w:t>2</w:t>
      </w:r>
      <w:proofErr w:type="gramEnd"/>
      <w:r w:rsidR="00977A47">
        <w:t xml:space="preserve"> SLS figure above:</w:t>
      </w:r>
    </w:p>
    <w:p w14:paraId="3225ACDD" w14:textId="77777777" w:rsidR="00977A47" w:rsidRDefault="00977A47" w:rsidP="00977A47">
      <w:pPr>
        <w:pStyle w:val="ListParagraph"/>
      </w:pPr>
    </w:p>
    <w:p w14:paraId="363BC93E" w14:textId="35750EAD" w:rsidR="00977A47" w:rsidRDefault="00977A47" w:rsidP="00977A47">
      <w:pPr>
        <w:pStyle w:val="ListParagraph"/>
        <w:numPr>
          <w:ilvl w:val="1"/>
          <w:numId w:val="15"/>
        </w:numPr>
      </w:pPr>
      <w:r>
        <w:t xml:space="preserve">Northern Pines Phase </w:t>
      </w:r>
      <w:r w:rsidR="00924840">
        <w:t>2</w:t>
      </w:r>
      <w:r>
        <w:t xml:space="preserve"> (20 units) will be subsidized and count towards the SLS. </w:t>
      </w:r>
    </w:p>
    <w:p w14:paraId="79218316" w14:textId="77777777" w:rsidR="00977A47" w:rsidRDefault="00977A47" w:rsidP="00977A47">
      <w:pPr>
        <w:pStyle w:val="ListParagraph"/>
        <w:ind w:left="1440"/>
      </w:pPr>
    </w:p>
    <w:p w14:paraId="37ABB4AA" w14:textId="431C42B7" w:rsidR="00DD6038" w:rsidRDefault="00977A47" w:rsidP="00977A47">
      <w:pPr>
        <w:pStyle w:val="ListParagraph"/>
        <w:numPr>
          <w:ilvl w:val="1"/>
          <w:numId w:val="15"/>
        </w:numPr>
      </w:pPr>
      <w:r>
        <w:t xml:space="preserve">Rent supplements </w:t>
      </w:r>
      <w:r w:rsidR="009650B5">
        <w:t>are being</w:t>
      </w:r>
      <w:r>
        <w:t xml:space="preserve"> phased in at Mackay Homes upon unit turnover. There </w:t>
      </w:r>
      <w:r w:rsidR="009B381D">
        <w:t>are</w:t>
      </w:r>
      <w:r>
        <w:t xml:space="preserve"> 65 units at Mackay </w:t>
      </w:r>
      <w:proofErr w:type="gramStart"/>
      <w:r>
        <w:t>Homes</w:t>
      </w:r>
      <w:proofErr w:type="gramEnd"/>
      <w:r>
        <w:t xml:space="preserve"> and it is estimated to take up to 10 years to turn over all these units.</w:t>
      </w:r>
    </w:p>
    <w:p w14:paraId="51F373E8" w14:textId="77777777" w:rsidR="00977A47" w:rsidRDefault="00977A47" w:rsidP="00977A47">
      <w:pPr>
        <w:pStyle w:val="ListParagraph"/>
      </w:pPr>
    </w:p>
    <w:p w14:paraId="683C92C9" w14:textId="3D3D1A81" w:rsidR="00A73015" w:rsidRPr="00A73015" w:rsidRDefault="00A73015" w:rsidP="00A73015">
      <w:pPr>
        <w:pStyle w:val="ListParagraph"/>
        <w:numPr>
          <w:ilvl w:val="1"/>
          <w:numId w:val="15"/>
        </w:numPr>
      </w:pPr>
      <w:r w:rsidRPr="00A73015">
        <w:t>Rent Supplements will be provided to subsidize 24 units at the former J.W. Trusler school in North Bay. These will count towards SLS.</w:t>
      </w:r>
    </w:p>
    <w:p w14:paraId="4D6CF695" w14:textId="77777777" w:rsidR="00A73015" w:rsidRPr="00A73015" w:rsidRDefault="00A73015" w:rsidP="00A73015">
      <w:pPr>
        <w:pStyle w:val="ListParagraph"/>
        <w:ind w:left="1440"/>
        <w:rPr>
          <w:highlight w:val="yellow"/>
        </w:rPr>
      </w:pPr>
    </w:p>
    <w:p w14:paraId="6D9D0C80" w14:textId="4C5F4E15" w:rsidR="00C17F55" w:rsidRDefault="00623AF7" w:rsidP="00C17F55">
      <w:pPr>
        <w:pStyle w:val="ListParagraph"/>
        <w:numPr>
          <w:ilvl w:val="0"/>
          <w:numId w:val="15"/>
        </w:numPr>
      </w:pPr>
      <w:r>
        <w:t xml:space="preserve">The </w:t>
      </w:r>
      <w:r w:rsidR="00C17F55">
        <w:t xml:space="preserve">HPP, </w:t>
      </w:r>
      <w:r w:rsidR="00C34F1D">
        <w:t>Reaching Home</w:t>
      </w:r>
      <w:r w:rsidR="00C17F55">
        <w:t>,</w:t>
      </w:r>
      <w:r w:rsidR="0041051A">
        <w:t xml:space="preserve"> Community </w:t>
      </w:r>
      <w:proofErr w:type="gramStart"/>
      <w:r w:rsidR="0041051A">
        <w:t>Capacity</w:t>
      </w:r>
      <w:proofErr w:type="gramEnd"/>
      <w:r w:rsidR="00C17F55" w:rsidRPr="00C17F55">
        <w:t xml:space="preserve"> </w:t>
      </w:r>
      <w:r w:rsidR="00C17F55">
        <w:t>and Innovation, COCHI, and OPHI programs</w:t>
      </w:r>
      <w:r>
        <w:t xml:space="preserve"> </w:t>
      </w:r>
      <w:r w:rsidR="0041051A">
        <w:t xml:space="preserve">are </w:t>
      </w:r>
      <w:r w:rsidR="00C17F55">
        <w:t>fully funded by the provincial and federal governments</w:t>
      </w:r>
      <w:r w:rsidR="0041051A">
        <w:t xml:space="preserve"> for homelessness initiatives</w:t>
      </w:r>
      <w:r w:rsidR="00C17F55">
        <w:t xml:space="preserve"> and</w:t>
      </w:r>
      <w:r w:rsidR="00125864">
        <w:t xml:space="preserve"> to address local housing priorities that include affordability, repair and new construction.</w:t>
      </w:r>
      <w:r w:rsidR="00C17F55">
        <w:t xml:space="preserve"> Housing staff bring forward regular reports to the Board to approve investment plans detailing how these funding allocations will be expended.</w:t>
      </w:r>
    </w:p>
    <w:p w14:paraId="2BC8AEDC" w14:textId="0BD87C8A" w:rsidR="006D68F3" w:rsidRDefault="006D68F3" w:rsidP="00C17F55">
      <w:pPr>
        <w:pStyle w:val="ListParagraph"/>
        <w:numPr>
          <w:ilvl w:val="0"/>
          <w:numId w:val="15"/>
        </w:numPr>
      </w:pPr>
      <w:r w:rsidRPr="006D68F3">
        <w:lastRenderedPageBreak/>
        <w:t xml:space="preserve">After the 2023 budget was approved, the </w:t>
      </w:r>
      <w:proofErr w:type="gramStart"/>
      <w:r w:rsidRPr="006D68F3">
        <w:t>Province</w:t>
      </w:r>
      <w:proofErr w:type="gramEnd"/>
      <w:r w:rsidRPr="006D68F3">
        <w:t xml:space="preserve"> announced a significant increase to DNSSAB’s HPP annual allocation from $2,339,100 to $5,303,700. This enhanced allocation will eliminate the need to use reserves and will help to mitigate future increases to the municipal levy</w:t>
      </w:r>
      <w:r>
        <w:t xml:space="preserve"> </w:t>
      </w:r>
      <w:r w:rsidR="00AC58A5">
        <w:t>at the current service levels.</w:t>
      </w:r>
    </w:p>
    <w:p w14:paraId="0824E3B8" w14:textId="77777777" w:rsidR="0060279C" w:rsidRDefault="0060279C" w:rsidP="0060279C">
      <w:pPr>
        <w:pStyle w:val="ListParagraph"/>
      </w:pPr>
    </w:p>
    <w:p w14:paraId="79D1E17D" w14:textId="6E3E8EDD" w:rsidR="000E1C41" w:rsidRDefault="000E1C41" w:rsidP="000E1C41">
      <w:pPr>
        <w:pStyle w:val="ListParagraph"/>
        <w:numPr>
          <w:ilvl w:val="0"/>
          <w:numId w:val="15"/>
        </w:numPr>
      </w:pPr>
      <w:r>
        <w:t>Northern Pines and the Low Barrier Shelter are both operated by Crisis Centre North Bay. Costs for these programs increase annually due to collective bargaining and inflationary increases. Available HPP funding is used where possible to offset the impact on the municipal levy, however, with HPP funding being fixed, annual increases to these budgets will need to be funded by the municipal levy.</w:t>
      </w:r>
    </w:p>
    <w:p w14:paraId="6D1E4948" w14:textId="0FBDA433" w:rsidR="00E54DE9" w:rsidRDefault="00E54DE9" w:rsidP="00CC6AD0">
      <w:pPr>
        <w:pStyle w:val="Heading4"/>
        <w:spacing w:after="100" w:afterAutospacing="1"/>
      </w:pPr>
      <w:r>
        <w:t>3.</w:t>
      </w:r>
      <w:r w:rsidR="00281C0F">
        <w:t>4</w:t>
      </w:r>
      <w:r>
        <w:t>.</w:t>
      </w:r>
      <w:r w:rsidR="00F54145">
        <w:t>2</w:t>
      </w:r>
      <w:r>
        <w:t xml:space="preserve"> Affordable Housing Reserve</w:t>
      </w:r>
    </w:p>
    <w:p w14:paraId="4723470A" w14:textId="5D1DC9F5" w:rsidR="00D8726A" w:rsidRDefault="00D62323" w:rsidP="00A94EFC">
      <w:pPr>
        <w:pStyle w:val="ListParagraph"/>
        <w:numPr>
          <w:ilvl w:val="0"/>
          <w:numId w:val="15"/>
        </w:numPr>
      </w:pPr>
      <w:r>
        <w:t>G</w:t>
      </w:r>
      <w:r w:rsidR="00D8726A">
        <w:t xml:space="preserve">iven the sharp increase in interest rates </w:t>
      </w:r>
      <w:r>
        <w:t xml:space="preserve">that started </w:t>
      </w:r>
      <w:r w:rsidR="00D8726A">
        <w:t>in 2022, DNSSAB is currently earning excess interest revenue. It is recommended that this excess interest revenue, which is estimated at approximately $1</w:t>
      </w:r>
      <w:r>
        <w:t>.1</w:t>
      </w:r>
      <w:r w:rsidR="00D8726A">
        <w:t xml:space="preserve"> million for 202</w:t>
      </w:r>
      <w:r>
        <w:t>4</w:t>
      </w:r>
      <w:r w:rsidR="00D8726A">
        <w:t xml:space="preserve">, be placed in the </w:t>
      </w:r>
      <w:r w:rsidR="00FD2C97">
        <w:t>Affordable Housing Reserve. The actual excess revenue for 202</w:t>
      </w:r>
      <w:r>
        <w:t>4</w:t>
      </w:r>
      <w:r w:rsidR="00FD2C97">
        <w:t xml:space="preserve"> will not be known until the 202</w:t>
      </w:r>
      <w:r>
        <w:t>4</w:t>
      </w:r>
      <w:r w:rsidR="00FD2C97">
        <w:t xml:space="preserve"> yearend process is completed in early 202</w:t>
      </w:r>
      <w:r>
        <w:t>5</w:t>
      </w:r>
      <w:r w:rsidR="00FD2C97">
        <w:t>, so it is recommended that the amount to be transferred be at the discretion of the Manager of Finance.</w:t>
      </w:r>
    </w:p>
    <w:p w14:paraId="0B95F501" w14:textId="77777777" w:rsidR="0099573B" w:rsidRDefault="0099573B" w:rsidP="0099573B">
      <w:pPr>
        <w:pStyle w:val="ListParagraph"/>
      </w:pPr>
    </w:p>
    <w:p w14:paraId="5BEB7DFC" w14:textId="14D7839E" w:rsidR="0099573B" w:rsidRDefault="0099573B" w:rsidP="00A94EFC">
      <w:pPr>
        <w:pStyle w:val="ListParagraph"/>
        <w:numPr>
          <w:ilvl w:val="0"/>
          <w:numId w:val="15"/>
        </w:numPr>
      </w:pPr>
      <w:r>
        <w:t>Because interest rates will gradually come back down, it is not recommended to use this excess revenue to offset operating costs as this will only put more pressure on the municipal levy in future years.</w:t>
      </w:r>
      <w:r w:rsidR="000A31C6">
        <w:t xml:space="preserve"> Reserves also need to be grown to take advantage of future funding opportunities for housing development. Most housing development funding is currently application based with scoring grids</w:t>
      </w:r>
      <w:r w:rsidR="00705BB4">
        <w:t>,</w:t>
      </w:r>
      <w:r w:rsidR="000A31C6">
        <w:t xml:space="preserve"> and higher scores are awarded for projects that have higher equity contributions. Therefore, to be successful in funding applications, appropriate levels of reserves are needed to support the required equity contributions.</w:t>
      </w:r>
    </w:p>
    <w:p w14:paraId="7F3A7EB7" w14:textId="512B6390" w:rsidR="00EC5568" w:rsidRDefault="00CD298B" w:rsidP="00A94EFC">
      <w:pPr>
        <w:pStyle w:val="Heading4"/>
        <w:spacing w:after="100" w:afterAutospacing="1"/>
      </w:pPr>
      <w:r>
        <w:t>3.</w:t>
      </w:r>
      <w:r w:rsidR="00281C0F">
        <w:t>4</w:t>
      </w:r>
      <w:r>
        <w:t>.</w:t>
      </w:r>
      <w:r w:rsidR="00A94EFC">
        <w:t>3</w:t>
      </w:r>
      <w:r>
        <w:t xml:space="preserve"> </w:t>
      </w:r>
      <w:r w:rsidR="00EC5568">
        <w:t>Housing Services Program Delivery</w:t>
      </w:r>
    </w:p>
    <w:p w14:paraId="0958AECD" w14:textId="29C808FE" w:rsidR="00F35039" w:rsidRPr="00FD2C97" w:rsidRDefault="00A26F68" w:rsidP="00FD2C97">
      <w:pPr>
        <w:pStyle w:val="ListParagraph"/>
        <w:numPr>
          <w:ilvl w:val="0"/>
          <w:numId w:val="16"/>
        </w:numPr>
      </w:pPr>
      <w:r>
        <w:t>The</w:t>
      </w:r>
      <w:r w:rsidRPr="00A26F68">
        <w:t xml:space="preserve"> Housing Services</w:t>
      </w:r>
      <w:r w:rsidR="00BD4DCB">
        <w:t xml:space="preserve"> program delivery</w:t>
      </w:r>
      <w:r w:rsidRPr="00A26F68">
        <w:t xml:space="preserve"> budget ha</w:t>
      </w:r>
      <w:r>
        <w:t xml:space="preserve">s </w:t>
      </w:r>
      <w:r w:rsidR="00123541">
        <w:t>in</w:t>
      </w:r>
      <w:r>
        <w:t>creased year over year by $</w:t>
      </w:r>
      <w:r w:rsidR="00123541">
        <w:t>135,015</w:t>
      </w:r>
      <w:r>
        <w:t xml:space="preserve"> </w:t>
      </w:r>
      <w:r w:rsidRPr="00A26F68">
        <w:t xml:space="preserve">or </w:t>
      </w:r>
      <w:r w:rsidR="00123541">
        <w:t>7.82</w:t>
      </w:r>
      <w:r w:rsidRPr="00A26F68">
        <w:t>%. This is primarily due to</w:t>
      </w:r>
      <w:r w:rsidR="00144743">
        <w:t xml:space="preserve"> </w:t>
      </w:r>
      <w:r w:rsidR="00123541">
        <w:t>the increased HPP allocation noted above as current provincial funding allocations include a 5% administration allocation</w:t>
      </w:r>
      <w:r w:rsidR="00144743">
        <w:t xml:space="preserve">. </w:t>
      </w:r>
      <w:r w:rsidR="00123541">
        <w:t>Despite the increase in the budget, the municipal levy contribution is decreasing $14,508 or 1.05%.</w:t>
      </w:r>
    </w:p>
    <w:p w14:paraId="1597B518" w14:textId="1A7276B5" w:rsidR="003C5FAC" w:rsidRPr="002B1A5B" w:rsidRDefault="003C5FAC" w:rsidP="0047275A">
      <w:pPr>
        <w:pStyle w:val="Heading2"/>
        <w:spacing w:before="360"/>
      </w:pPr>
      <w:bookmarkStart w:id="10" w:name="_Toc155193121"/>
      <w:r w:rsidRPr="002B1A5B">
        <w:lastRenderedPageBreak/>
        <w:t>3.</w:t>
      </w:r>
      <w:r w:rsidR="00281C0F">
        <w:t>5</w:t>
      </w:r>
      <w:r w:rsidRPr="002B1A5B">
        <w:t xml:space="preserve"> </w:t>
      </w:r>
      <w:r w:rsidR="00837BCC">
        <w:t>Paramedic</w:t>
      </w:r>
      <w:r w:rsidRPr="002B1A5B">
        <w:t xml:space="preserve"> Services</w:t>
      </w:r>
      <w:bookmarkEnd w:id="10"/>
    </w:p>
    <w:p w14:paraId="780B20E6" w14:textId="4E6C30AC" w:rsidR="003C5FAC" w:rsidRDefault="00823884" w:rsidP="000001E8">
      <w:pPr>
        <w:spacing w:after="0"/>
        <w:jc w:val="center"/>
      </w:pPr>
      <w:r>
        <w:rPr>
          <w:noProof/>
        </w:rPr>
        <w:drawing>
          <wp:inline distT="0" distB="0" distL="0" distR="0" wp14:anchorId="4BAB57D0" wp14:editId="74D6023F">
            <wp:extent cx="5566410" cy="3450590"/>
            <wp:effectExtent l="133350" t="114300" r="148590" b="168910"/>
            <wp:docPr id="21442041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6410" cy="34505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DFA06D2" w14:textId="77777777" w:rsidR="00290C41" w:rsidRDefault="00290C41" w:rsidP="003C5FAC"/>
    <w:p w14:paraId="5BE49C73" w14:textId="2FF8E053" w:rsidR="00EC5568" w:rsidRDefault="00EC5568" w:rsidP="00CC6AD0">
      <w:pPr>
        <w:pStyle w:val="Heading4"/>
        <w:spacing w:after="100" w:afterAutospacing="1"/>
      </w:pPr>
      <w:r>
        <w:t>3.</w:t>
      </w:r>
      <w:r w:rsidR="00281C0F">
        <w:t>5</w:t>
      </w:r>
      <w:r>
        <w:t xml:space="preserve">.1 </w:t>
      </w:r>
      <w:r w:rsidR="00837BCC">
        <w:t>Paramedic Services</w:t>
      </w:r>
      <w:r>
        <w:t xml:space="preserve"> Provincial Funding Impact</w:t>
      </w:r>
    </w:p>
    <w:p w14:paraId="0C81DC2C" w14:textId="77777777" w:rsidR="005A1B13" w:rsidRDefault="005A1B13" w:rsidP="00EC5568">
      <w:r w:rsidRPr="005A1B13">
        <w:t>On August 22, 2023, during the AMO conference, the Ontario government announced they were increasing 2023 land ambulance funding to municipalities by an average of six per cent. This has been the process for several years now where current year funding increases are announced in August. Therefore, DNSSAB will likely not receive confirmation of land ambulance funding for 2024 until August of 2024. Given the fact that funding has continued to increase with inflation each year, it is expected that the funding formula will remain the same for 2024.</w:t>
      </w:r>
    </w:p>
    <w:p w14:paraId="406CDE74" w14:textId="395AC00F" w:rsidR="00F32A0A" w:rsidRDefault="00100EAB" w:rsidP="00EC5568">
      <w:r>
        <w:t>The method in which</w:t>
      </w:r>
      <w:r w:rsidR="00F32A0A" w:rsidRPr="00F32A0A">
        <w:t xml:space="preserve"> the </w:t>
      </w:r>
      <w:r w:rsidR="00F32A0A">
        <w:t>Land Ambulance Service Grant (</w:t>
      </w:r>
      <w:r w:rsidR="00F32A0A" w:rsidRPr="00F32A0A">
        <w:t>LASG</w:t>
      </w:r>
      <w:r w:rsidR="00F32A0A">
        <w:t>)</w:t>
      </w:r>
      <w:r w:rsidR="004E652F">
        <w:t xml:space="preserve"> is calculated (in a</w:t>
      </w:r>
      <w:r w:rsidR="00F32A0A" w:rsidRPr="00F32A0A">
        <w:t xml:space="preserve"> simplified way) is that </w:t>
      </w:r>
      <w:r w:rsidR="000F51C7">
        <w:t>the DNSSAB</w:t>
      </w:r>
      <w:r w:rsidR="00F32A0A" w:rsidRPr="00F32A0A">
        <w:t xml:space="preserve"> receive</w:t>
      </w:r>
      <w:r w:rsidR="000F51C7">
        <w:t>s</w:t>
      </w:r>
      <w:r w:rsidR="00F32A0A" w:rsidRPr="00F32A0A">
        <w:t xml:space="preserve"> 50% of </w:t>
      </w:r>
      <w:r w:rsidR="000F51C7">
        <w:t xml:space="preserve">its </w:t>
      </w:r>
      <w:r w:rsidR="00F32A0A" w:rsidRPr="00F32A0A">
        <w:t xml:space="preserve">previous year’s approved budget plus a 100% portion to cover </w:t>
      </w:r>
      <w:r w:rsidR="000F51C7">
        <w:t>territories without municipal organization (</w:t>
      </w:r>
      <w:r w:rsidR="00F32A0A" w:rsidRPr="00F32A0A">
        <w:t>TWOMO</w:t>
      </w:r>
      <w:r w:rsidR="000F51C7">
        <w:t>)</w:t>
      </w:r>
      <w:r w:rsidR="00F32A0A" w:rsidRPr="00F32A0A">
        <w:t xml:space="preserve"> and First Nations funding. </w:t>
      </w:r>
      <w:r w:rsidR="004D246B" w:rsidRPr="004D246B">
        <w:t>Therefore, the 202</w:t>
      </w:r>
      <w:r w:rsidR="005A1B13">
        <w:t>4</w:t>
      </w:r>
      <w:r w:rsidR="004D246B" w:rsidRPr="004D246B">
        <w:t xml:space="preserve"> 50/50 provincial funding w</w:t>
      </w:r>
      <w:r w:rsidR="00F42623">
        <w:t>ill</w:t>
      </w:r>
      <w:r w:rsidR="004D246B" w:rsidRPr="004D246B">
        <w:t xml:space="preserve"> be based on the 202</w:t>
      </w:r>
      <w:r w:rsidR="005A1B13">
        <w:t>3</w:t>
      </w:r>
      <w:r w:rsidR="004D246B" w:rsidRPr="004D246B">
        <w:t xml:space="preserve"> budget as opposed </w:t>
      </w:r>
      <w:r w:rsidR="004D246B">
        <w:t>to the 202</w:t>
      </w:r>
      <w:r w:rsidR="005A1B13">
        <w:t>4</w:t>
      </w:r>
      <w:r w:rsidR="004D246B">
        <w:t xml:space="preserve"> budget</w:t>
      </w:r>
      <w:r w:rsidR="00F32A0A" w:rsidRPr="00F32A0A">
        <w:t>. The issue with this is that the provincial funding is then a year behind on budget increases from call volume changes, service enhancements and</w:t>
      </w:r>
      <w:r w:rsidR="000F51C7">
        <w:t xml:space="preserve"> inflationary increases. The</w:t>
      </w:r>
      <w:r w:rsidR="004D246B">
        <w:t xml:space="preserve"> </w:t>
      </w:r>
      <w:r w:rsidR="00C75181">
        <w:t>Ministry of Health (</w:t>
      </w:r>
      <w:r w:rsidR="004D246B">
        <w:t>MOH</w:t>
      </w:r>
      <w:r w:rsidR="00C75181">
        <w:t>)</w:t>
      </w:r>
      <w:r w:rsidR="00F32A0A" w:rsidRPr="00F32A0A">
        <w:t xml:space="preserve"> had previously addressed this timing difference by including an incremental (inflationary) increase to </w:t>
      </w:r>
      <w:r w:rsidR="000F51C7">
        <w:t>the</w:t>
      </w:r>
      <w:r w:rsidR="00F32A0A" w:rsidRPr="00F32A0A">
        <w:t xml:space="preserve"> previous year </w:t>
      </w:r>
      <w:r w:rsidR="00F32A0A" w:rsidRPr="000D3ABF">
        <w:t xml:space="preserve">budget. </w:t>
      </w:r>
      <w:r w:rsidR="005A1B13" w:rsidRPr="005A1B13">
        <w:t>In 2018, this incremental increase was 1.7% or $150,658. For 2019 through 2023, this incremental increase was set at 0%.</w:t>
      </w:r>
    </w:p>
    <w:p w14:paraId="2B9EF0F8" w14:textId="38FB09BC" w:rsidR="00EC5568" w:rsidRDefault="00EC5568" w:rsidP="00EC5568">
      <w:pPr>
        <w:pStyle w:val="Heading4"/>
      </w:pPr>
      <w:r>
        <w:lastRenderedPageBreak/>
        <w:t>3.</w:t>
      </w:r>
      <w:r w:rsidR="00281C0F">
        <w:t>5</w:t>
      </w:r>
      <w:r>
        <w:t xml:space="preserve">.2 </w:t>
      </w:r>
      <w:r w:rsidR="00837BCC">
        <w:t>Paramedic Services</w:t>
      </w:r>
      <w:r>
        <w:t xml:space="preserve"> Program</w:t>
      </w:r>
    </w:p>
    <w:p w14:paraId="0B8F11FE" w14:textId="2E315EAC" w:rsidR="00EC5568" w:rsidRDefault="007678AB" w:rsidP="00EC5568">
      <w:r w:rsidRPr="007678AB">
        <w:drawing>
          <wp:inline distT="0" distB="0" distL="0" distR="0" wp14:anchorId="130BBD8F" wp14:editId="56ACDD87">
            <wp:extent cx="5943600" cy="3827780"/>
            <wp:effectExtent l="19050" t="19050" r="19050" b="20320"/>
            <wp:docPr id="133523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827780"/>
                    </a:xfrm>
                    <a:prstGeom prst="rect">
                      <a:avLst/>
                    </a:prstGeom>
                    <a:noFill/>
                    <a:ln>
                      <a:solidFill>
                        <a:schemeClr val="tx1"/>
                      </a:solidFill>
                    </a:ln>
                  </pic:spPr>
                </pic:pic>
              </a:graphicData>
            </a:graphic>
          </wp:inline>
        </w:drawing>
      </w:r>
    </w:p>
    <w:p w14:paraId="438F64A9" w14:textId="2011AD2E" w:rsidR="002D0D7D" w:rsidRDefault="004E7930" w:rsidP="004E7930">
      <w:pPr>
        <w:pStyle w:val="ListParagraph"/>
        <w:numPr>
          <w:ilvl w:val="0"/>
          <w:numId w:val="17"/>
        </w:numPr>
      </w:pPr>
      <w:r w:rsidRPr="004E7930">
        <w:t>In November 2021, the Board approved</w:t>
      </w:r>
      <w:r>
        <w:t xml:space="preserve"> </w:t>
      </w:r>
      <w:r w:rsidRPr="004E7930">
        <w:t>a transition to a direct delivery model for paramedic services effective prior to January 1, 2023.</w:t>
      </w:r>
      <w:r>
        <w:t xml:space="preserve"> The transition was completed in December 2022. Paramedic Services was previously contracted out to North Bay Regional Health Centre (North Bay and area, West </w:t>
      </w:r>
      <w:r w:rsidR="009E2239">
        <w:t>Nipissing,</w:t>
      </w:r>
      <w:r>
        <w:t xml:space="preserve"> and South Algonquin), Mattawa Hospital (Mattawa and area) and the Municipality of Temagami (Temagami).  </w:t>
      </w:r>
    </w:p>
    <w:p w14:paraId="101A2080" w14:textId="77777777" w:rsidR="008B3C02" w:rsidRDefault="008B3C02" w:rsidP="008B3C02">
      <w:pPr>
        <w:pStyle w:val="ListParagraph"/>
      </w:pPr>
    </w:p>
    <w:p w14:paraId="29114F0E" w14:textId="3389B57B" w:rsidR="008B3C02" w:rsidRDefault="008B3C02" w:rsidP="008B3C02">
      <w:pPr>
        <w:pStyle w:val="ListParagraph"/>
        <w:numPr>
          <w:ilvl w:val="0"/>
          <w:numId w:val="17"/>
        </w:numPr>
      </w:pPr>
      <w:r>
        <w:t>Due to increased call volumes,</w:t>
      </w:r>
      <w:r w:rsidR="00E71A2D">
        <w:t xml:space="preserve"> employee recruitment and retention issues, and the need to meet response time standards,</w:t>
      </w:r>
      <w:r>
        <w:t xml:space="preserve"> the 2024 Paramedic Services budget increases deployment hours in Mattawa from eight (8) hours on</w:t>
      </w:r>
      <w:r w:rsidR="00E71A2D">
        <w:t>-</w:t>
      </w:r>
      <w:r>
        <w:t>site and sixteen (16) hours on</w:t>
      </w:r>
      <w:r w:rsidR="00E71A2D">
        <w:t>-</w:t>
      </w:r>
      <w:r>
        <w:t xml:space="preserve">call to a </w:t>
      </w:r>
      <w:r w:rsidR="00E71A2D">
        <w:t>twenty-four</w:t>
      </w:r>
      <w:r>
        <w:t xml:space="preserve"> (24) hour on</w:t>
      </w:r>
      <w:r w:rsidR="00E71A2D">
        <w:t>-</w:t>
      </w:r>
      <w:r>
        <w:t xml:space="preserve">site service. </w:t>
      </w:r>
      <w:r w:rsidR="00E71A2D">
        <w:t xml:space="preserve">Deployment hours for </w:t>
      </w:r>
      <w:r>
        <w:t>Temagami and South Algonquin</w:t>
      </w:r>
      <w:r w:rsidR="00E71A2D">
        <w:t xml:space="preserve"> are also increasing</w:t>
      </w:r>
      <w:r>
        <w:t xml:space="preserve"> from eight (8) hours on</w:t>
      </w:r>
      <w:r w:rsidR="00E71A2D">
        <w:t>-</w:t>
      </w:r>
      <w:r>
        <w:t>site and sixteen (16) hours on</w:t>
      </w:r>
      <w:r w:rsidR="00E71A2D">
        <w:t>-</w:t>
      </w:r>
      <w:r>
        <w:t>call</w:t>
      </w:r>
      <w:r w:rsidR="00E71A2D">
        <w:t xml:space="preserve"> to twelve (12) hours on-site and twelve (12) hours on-call. Th</w:t>
      </w:r>
      <w:r w:rsidR="00EE665A">
        <w:t>ese</w:t>
      </w:r>
      <w:r w:rsidR="00E71A2D">
        <w:t xml:space="preserve"> change</w:t>
      </w:r>
      <w:r w:rsidR="00EE665A">
        <w:t>s</w:t>
      </w:r>
      <w:r w:rsidR="00E71A2D">
        <w:t xml:space="preserve"> in deployment </w:t>
      </w:r>
      <w:r w:rsidR="00EE665A">
        <w:t>are</w:t>
      </w:r>
      <w:r w:rsidR="00E71A2D">
        <w:t xml:space="preserve"> expected to take place part way through the year as recruitment for the additional</w:t>
      </w:r>
      <w:r w:rsidR="00CD5AF6">
        <w:t xml:space="preserve"> required</w:t>
      </w:r>
      <w:r w:rsidR="00E71A2D">
        <w:t xml:space="preserve"> positions will take some time.</w:t>
      </w:r>
      <w:r w:rsidR="00F2104F">
        <w:t xml:space="preserve"> The budget includes the use of $</w:t>
      </w:r>
      <w:r w:rsidR="007678AB">
        <w:t>934</w:t>
      </w:r>
      <w:r w:rsidR="00F2104F">
        <w:t>,000 in reserves to offset the impact on the municipal levy from these deployment changes.</w:t>
      </w:r>
    </w:p>
    <w:p w14:paraId="250C037E" w14:textId="77777777" w:rsidR="002D0D7D" w:rsidRDefault="002D0D7D" w:rsidP="002D0D7D">
      <w:pPr>
        <w:pStyle w:val="ListParagraph"/>
      </w:pPr>
    </w:p>
    <w:p w14:paraId="563E3B9E" w14:textId="77777777" w:rsidR="00CD5AF6" w:rsidRDefault="00CD5AF6">
      <w:r>
        <w:br w:type="page"/>
      </w:r>
    </w:p>
    <w:p w14:paraId="7DD2E3AD" w14:textId="77536B09" w:rsidR="00242CFA" w:rsidRDefault="002D0D7D" w:rsidP="00242CFA">
      <w:pPr>
        <w:pStyle w:val="ListParagraph"/>
        <w:numPr>
          <w:ilvl w:val="0"/>
          <w:numId w:val="17"/>
        </w:numPr>
      </w:pPr>
      <w:r>
        <w:lastRenderedPageBreak/>
        <w:t xml:space="preserve">2023 was the first year of DNSSAB direct delivery and a very tight budget was prepared in 2023 with only a 1.83% year over year increase from 2022. This was done to minimize the expected large increase to the municipal levy from the operations of Northern Pines, the Low Barrier </w:t>
      </w:r>
      <w:r w:rsidR="0012748C">
        <w:t>Shelter,</w:t>
      </w:r>
      <w:r>
        <w:t xml:space="preserve"> and Emergency Overflow (DNSSAB was not aware of the increased HPP funding at the time of the budget preparation and approval for 2023). Due to high inflation</w:t>
      </w:r>
      <w:r w:rsidR="00250238">
        <w:t>, increased call volume,</w:t>
      </w:r>
      <w:r w:rsidR="00637844">
        <w:t xml:space="preserve"> </w:t>
      </w:r>
      <w:r>
        <w:t xml:space="preserve">and other unforeseen costs, </w:t>
      </w:r>
      <w:r w:rsidR="0012748C">
        <w:t xml:space="preserve">Paramedic Services is forecasting for a significant deficit in 2023. Therefore, </w:t>
      </w:r>
      <w:r w:rsidR="00242CFA">
        <w:t>due to these factors and the changes to the deployment hours noted above, the Paramedic Services budget is increasing by 11.9% in 2024.</w:t>
      </w:r>
    </w:p>
    <w:p w14:paraId="34320412" w14:textId="77777777" w:rsidR="00242CFA" w:rsidRDefault="00242CFA" w:rsidP="00242CFA">
      <w:pPr>
        <w:pStyle w:val="ListParagraph"/>
      </w:pPr>
    </w:p>
    <w:p w14:paraId="4084EA89" w14:textId="0927E653" w:rsidR="00B62170" w:rsidRDefault="002F435A" w:rsidP="00B62170">
      <w:pPr>
        <w:pStyle w:val="ListParagraph"/>
        <w:numPr>
          <w:ilvl w:val="0"/>
          <w:numId w:val="17"/>
        </w:numPr>
      </w:pPr>
      <w:r>
        <w:t xml:space="preserve">The increase to the Paramedic Services budget is due to collective bargaining increases, inflationary increases, </w:t>
      </w:r>
      <w:r w:rsidR="00250238">
        <w:t>increased call volume</w:t>
      </w:r>
      <w:r w:rsidR="00BA747B">
        <w:t xml:space="preserve"> and corresponding deployment changes</w:t>
      </w:r>
      <w:r w:rsidR="00250238">
        <w:t>, and required adjustments to the budget based on the first year of experience with direct delivery</w:t>
      </w:r>
      <w:r>
        <w:t>.</w:t>
      </w:r>
      <w:r w:rsidR="009379FC">
        <w:t xml:space="preserve"> Additional details are as follows:</w:t>
      </w:r>
    </w:p>
    <w:p w14:paraId="1466812A" w14:textId="77777777" w:rsidR="00B62170" w:rsidRDefault="00B62170" w:rsidP="00B62170">
      <w:pPr>
        <w:pStyle w:val="ListParagraph"/>
      </w:pPr>
    </w:p>
    <w:p w14:paraId="4B74C504" w14:textId="15612AB9" w:rsidR="00F34114" w:rsidRDefault="002B7B4E" w:rsidP="00B62170">
      <w:pPr>
        <w:pStyle w:val="ListParagraph"/>
        <w:numPr>
          <w:ilvl w:val="1"/>
          <w:numId w:val="17"/>
        </w:numPr>
      </w:pPr>
      <w:r>
        <w:t xml:space="preserve">High inflation continues to impact all parts of the budget, but inflation tends to impact Paramedic Services more than other departments because a large portion of the Paramedic Services budget is for the purchase of goods and services as opposed to </w:t>
      </w:r>
      <w:r w:rsidR="00F41333">
        <w:t>mandated</w:t>
      </w:r>
      <w:r>
        <w:t xml:space="preserve"> direct client benefits.</w:t>
      </w:r>
      <w:r w:rsidR="00C35029">
        <w:t xml:space="preserve"> </w:t>
      </w:r>
    </w:p>
    <w:p w14:paraId="4625D3F5" w14:textId="77777777" w:rsidR="000D362F" w:rsidRDefault="000D362F" w:rsidP="000D362F">
      <w:pPr>
        <w:pStyle w:val="ListParagraph"/>
        <w:ind w:left="1440"/>
      </w:pPr>
    </w:p>
    <w:p w14:paraId="3951494F" w14:textId="560D2B85" w:rsidR="00FA3300" w:rsidRDefault="00F41333" w:rsidP="00EE011D">
      <w:pPr>
        <w:pStyle w:val="ListParagraph"/>
        <w:numPr>
          <w:ilvl w:val="1"/>
          <w:numId w:val="17"/>
        </w:numPr>
      </w:pPr>
      <w:r>
        <w:t>Two ambulance purchases are planned for 2024, continuing the normal replacement cycle. The cost of ambulances has increased significantly in recent years</w:t>
      </w:r>
      <w:r w:rsidR="00C35029">
        <w:t>.</w:t>
      </w:r>
    </w:p>
    <w:p w14:paraId="20074389" w14:textId="77777777" w:rsidR="00BC2699" w:rsidRDefault="00BC2699" w:rsidP="00BC2699">
      <w:pPr>
        <w:pStyle w:val="ListParagraph"/>
      </w:pPr>
    </w:p>
    <w:p w14:paraId="2DB9F009" w14:textId="086B3137" w:rsidR="00BC2699" w:rsidRDefault="00853941" w:rsidP="00EE011D">
      <w:pPr>
        <w:pStyle w:val="ListParagraph"/>
        <w:numPr>
          <w:ilvl w:val="1"/>
          <w:numId w:val="17"/>
        </w:numPr>
      </w:pPr>
      <w:r>
        <w:t>The cost of v</w:t>
      </w:r>
      <w:r w:rsidR="00BC2699">
        <w:t xml:space="preserve">ehicle fuel </w:t>
      </w:r>
      <w:r>
        <w:t>continues to increase</w:t>
      </w:r>
      <w:r w:rsidR="00BC2699">
        <w:t xml:space="preserve">. While short-term fuel prices are difficult to predict due to many global factors that can </w:t>
      </w:r>
      <w:r w:rsidR="00720498">
        <w:t>affect</w:t>
      </w:r>
      <w:r w:rsidR="00BC2699">
        <w:t xml:space="preserve"> prices, it is expected that prices will continue to increase year over year due to the carbon tax and regular inflation.</w:t>
      </w:r>
    </w:p>
    <w:p w14:paraId="2448DAD2" w14:textId="77777777" w:rsidR="009740BE" w:rsidRDefault="009740BE" w:rsidP="009740BE">
      <w:pPr>
        <w:pStyle w:val="ListParagraph"/>
      </w:pPr>
    </w:p>
    <w:p w14:paraId="67BB79A6" w14:textId="4B47342C" w:rsidR="003E5672" w:rsidRDefault="003E5672" w:rsidP="003E5672">
      <w:pPr>
        <w:pStyle w:val="ListParagraph"/>
        <w:numPr>
          <w:ilvl w:val="1"/>
          <w:numId w:val="17"/>
        </w:numPr>
      </w:pPr>
      <w:r>
        <w:t xml:space="preserve">Various budget lines have been increased significantly such as uniforms, vehicle repairs, medical supplies, and medications based on current year trends. </w:t>
      </w:r>
    </w:p>
    <w:p w14:paraId="7C3DBE53" w14:textId="77777777" w:rsidR="003E5672" w:rsidRPr="00AB3A27" w:rsidRDefault="003E5672" w:rsidP="003E5672">
      <w:pPr>
        <w:pStyle w:val="ListParagraph"/>
        <w:ind w:left="1440"/>
      </w:pPr>
    </w:p>
    <w:p w14:paraId="29115410" w14:textId="6511D5EE" w:rsidR="00767717" w:rsidRPr="00AB3A27" w:rsidRDefault="00767717" w:rsidP="00C27A2E">
      <w:pPr>
        <w:pStyle w:val="ListParagraph"/>
        <w:numPr>
          <w:ilvl w:val="0"/>
          <w:numId w:val="18"/>
        </w:numPr>
      </w:pPr>
      <w:r w:rsidRPr="00AB3A27">
        <w:t>General cost drivers:</w:t>
      </w:r>
    </w:p>
    <w:p w14:paraId="3154056D" w14:textId="77777777" w:rsidR="00322DFC" w:rsidRPr="00AB3A27" w:rsidRDefault="00322DFC" w:rsidP="00322DFC">
      <w:pPr>
        <w:pStyle w:val="ListParagraph"/>
        <w:ind w:left="1440"/>
      </w:pPr>
    </w:p>
    <w:p w14:paraId="0A1F8AFD" w14:textId="529DE80D" w:rsidR="00D83598" w:rsidRDefault="00D83598" w:rsidP="00D83598">
      <w:pPr>
        <w:pStyle w:val="ListParagraph"/>
        <w:numPr>
          <w:ilvl w:val="1"/>
          <w:numId w:val="18"/>
        </w:numPr>
      </w:pPr>
      <w:r w:rsidRPr="00B62170">
        <w:t>Ontario’s population is aging with the number of people over age 65 projected to double</w:t>
      </w:r>
      <w:r w:rsidRPr="00AB3A27">
        <w:t xml:space="preserve"> by 2036. Seniors typically make a disproportionate number of 911 calls, so as the population continues to age, increases to both the overall number of calls as well as the severity of calls is expected.</w:t>
      </w:r>
      <w:r w:rsidRPr="00AB3A27">
        <w:rPr>
          <w:rStyle w:val="FootnoteReference"/>
        </w:rPr>
        <w:footnoteReference w:id="3"/>
      </w:r>
    </w:p>
    <w:p w14:paraId="0EDC2892" w14:textId="77777777" w:rsidR="00D83598" w:rsidRPr="00AB3A27" w:rsidRDefault="00D83598" w:rsidP="00D83598">
      <w:pPr>
        <w:pStyle w:val="ListParagraph"/>
        <w:ind w:left="1440"/>
      </w:pPr>
    </w:p>
    <w:p w14:paraId="686F31ED" w14:textId="69892EAF" w:rsidR="00677DD3" w:rsidRPr="00AB3A27" w:rsidRDefault="00677DD3" w:rsidP="005833C3">
      <w:pPr>
        <w:pStyle w:val="ListParagraph"/>
        <w:numPr>
          <w:ilvl w:val="1"/>
          <w:numId w:val="18"/>
        </w:numPr>
        <w:spacing w:after="0"/>
      </w:pPr>
      <w:r w:rsidRPr="00AB3A27">
        <w:lastRenderedPageBreak/>
        <w:t xml:space="preserve">The Financial Accountability Office of Ontario </w:t>
      </w:r>
      <w:r w:rsidR="00504675" w:rsidRPr="00AB3A27">
        <w:t>forecasted</w:t>
      </w:r>
      <w:r w:rsidRPr="00AB3A27">
        <w:t xml:space="preserve"> inflatio</w:t>
      </w:r>
      <w:r w:rsidR="00015C25" w:rsidRPr="00AB3A27">
        <w:t xml:space="preserve">n in the health industry to be </w:t>
      </w:r>
      <w:r w:rsidRPr="00AB3A27">
        <w:t xml:space="preserve">approximately 4.5% </w:t>
      </w:r>
      <w:r w:rsidR="00015C25" w:rsidRPr="00AB3A27">
        <w:t xml:space="preserve">in </w:t>
      </w:r>
      <w:r w:rsidRPr="00AB3A27">
        <w:t>2019-20.</w:t>
      </w:r>
      <w:r w:rsidRPr="00AB3A27">
        <w:rPr>
          <w:rStyle w:val="FootnoteReference"/>
        </w:rPr>
        <w:footnoteReference w:id="4"/>
      </w:r>
      <w:r w:rsidRPr="00AB3A27">
        <w:t xml:space="preserve"> While this is</w:t>
      </w:r>
      <w:r w:rsidR="00DC7D0A" w:rsidRPr="00AB3A27">
        <w:t xml:space="preserve"> not</w:t>
      </w:r>
      <w:r w:rsidRPr="00AB3A27">
        <w:t xml:space="preserve"> specific to </w:t>
      </w:r>
      <w:r w:rsidR="00A56677">
        <w:t>Paramedic Services</w:t>
      </w:r>
      <w:r w:rsidR="00B533DD" w:rsidRPr="00AB3A27">
        <w:t xml:space="preserve"> and the data is</w:t>
      </w:r>
      <w:r w:rsidR="004E3E98" w:rsidRPr="00AB3A27">
        <w:t xml:space="preserve"> </w:t>
      </w:r>
      <w:r w:rsidR="00504675" w:rsidRPr="00AB3A27">
        <w:t xml:space="preserve">now </w:t>
      </w:r>
      <w:r w:rsidR="004E3E98" w:rsidRPr="00AB3A27">
        <w:t>outdated</w:t>
      </w:r>
      <w:r w:rsidRPr="00AB3A27">
        <w:t xml:space="preserve">, it still </w:t>
      </w:r>
      <w:r w:rsidR="001D5F5A" w:rsidRPr="00AB3A27">
        <w:t xml:space="preserve">demonstrates the impact </w:t>
      </w:r>
      <w:r w:rsidR="00AE707F" w:rsidRPr="00AB3A27">
        <w:t xml:space="preserve">that </w:t>
      </w:r>
      <w:r w:rsidR="001D5F5A" w:rsidRPr="00AB3A27">
        <w:t>the ag</w:t>
      </w:r>
      <w:r w:rsidRPr="00AB3A27">
        <w:t xml:space="preserve">ing population </w:t>
      </w:r>
      <w:r w:rsidR="003E5672">
        <w:t>has</w:t>
      </w:r>
      <w:r w:rsidRPr="00AB3A27">
        <w:t xml:space="preserve"> on </w:t>
      </w:r>
      <w:r w:rsidR="009E2239" w:rsidRPr="00AB3A27">
        <w:t>health-related</w:t>
      </w:r>
      <w:r w:rsidRPr="00AB3A27">
        <w:t xml:space="preserve"> costs.</w:t>
      </w:r>
    </w:p>
    <w:p w14:paraId="405406AA" w14:textId="56562206" w:rsidR="00441D76" w:rsidRPr="00B62170" w:rsidRDefault="00677DD3" w:rsidP="00B850C8">
      <w:pPr>
        <w:spacing w:after="0"/>
        <w:ind w:left="1417"/>
      </w:pPr>
      <w:r w:rsidRPr="00B62170">
        <w:rPr>
          <w:noProof/>
          <w:lang w:val="en-CA" w:eastAsia="en-CA"/>
        </w:rPr>
        <w:drawing>
          <wp:inline distT="0" distB="0" distL="0" distR="0" wp14:anchorId="26E7681D" wp14:editId="413D2843">
            <wp:extent cx="4422609" cy="2034037"/>
            <wp:effectExtent l="19050" t="19050" r="16510" b="234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6657" cy="2091089"/>
                    </a:xfrm>
                    <a:prstGeom prst="rect">
                      <a:avLst/>
                    </a:prstGeom>
                    <a:noFill/>
                    <a:ln>
                      <a:solidFill>
                        <a:schemeClr val="tx1"/>
                      </a:solidFill>
                    </a:ln>
                  </pic:spPr>
                </pic:pic>
              </a:graphicData>
            </a:graphic>
          </wp:inline>
        </w:drawing>
      </w:r>
    </w:p>
    <w:p w14:paraId="63085C4A" w14:textId="77777777" w:rsidR="00441D76" w:rsidRPr="00FA3300" w:rsidRDefault="00441D76" w:rsidP="00441D76">
      <w:pPr>
        <w:pStyle w:val="ListParagraph"/>
      </w:pPr>
    </w:p>
    <w:p w14:paraId="1F7219C5" w14:textId="5CAA52DC" w:rsidR="00CD5AF6" w:rsidRDefault="00FA3300" w:rsidP="00CD5AF6">
      <w:pPr>
        <w:pStyle w:val="ListParagraph"/>
        <w:numPr>
          <w:ilvl w:val="1"/>
          <w:numId w:val="18"/>
        </w:numPr>
        <w:spacing w:after="120"/>
      </w:pPr>
      <w:r w:rsidRPr="00FA3300">
        <w:t>Paramedic Services across Ontario ha</w:t>
      </w:r>
      <w:r w:rsidR="003760CF">
        <w:t>ve</w:t>
      </w:r>
      <w:r w:rsidRPr="00FA3300">
        <w:t xml:space="preserve"> experienced a considerable increase in patient transports.  Canadian Journal of Medicine</w:t>
      </w:r>
      <w:r>
        <w:rPr>
          <w:rStyle w:val="FootnoteReference"/>
        </w:rPr>
        <w:footnoteReference w:id="5"/>
      </w:r>
      <w:r w:rsidRPr="00FA3300">
        <w:t xml:space="preserve"> indicates a significant spike in </w:t>
      </w:r>
      <w:r w:rsidR="00F6342E">
        <w:t xml:space="preserve">Ontario </w:t>
      </w:r>
      <w:r w:rsidRPr="00FA3300">
        <w:t xml:space="preserve">patient transports of 34% over a </w:t>
      </w:r>
      <w:r w:rsidR="00B62170" w:rsidRPr="00FA3300">
        <w:t>ten-year</w:t>
      </w:r>
      <w:r w:rsidRPr="00FA3300">
        <w:t xml:space="preserve"> period pre-COVID 19 </w:t>
      </w:r>
      <w:proofErr w:type="gramStart"/>
      <w:r w:rsidRPr="00FA3300">
        <w:t>pandemic</w:t>
      </w:r>
      <w:proofErr w:type="gramEnd"/>
      <w:r w:rsidRPr="00FA3300">
        <w:t xml:space="preserve">.  Nipissing District has seen a 22% increase in patient transports over the past </w:t>
      </w:r>
      <w:r w:rsidR="00A56677">
        <w:t>five</w:t>
      </w:r>
      <w:r w:rsidRPr="00FA3300">
        <w:t xml:space="preserve"> years.  Increasing pressures are the urgent (Code 3) and Emergent (Code 4) which are time sensitive and do not permit opportunity to delay or defer.</w:t>
      </w:r>
      <w:r w:rsidR="00CD16DF">
        <w:t xml:space="preserve"> The chart below does not include standby and cancelled calls, only actual patient transports. Standby and cancelled calls account for approximately 10% of calls.</w:t>
      </w:r>
    </w:p>
    <w:p w14:paraId="0AC0C0F3" w14:textId="5B8AA355" w:rsidR="00B850C8" w:rsidRPr="00FA3300" w:rsidRDefault="00B850C8" w:rsidP="00CD5AF6">
      <w:pPr>
        <w:pStyle w:val="ListParagraph"/>
        <w:spacing w:before="120"/>
        <w:ind w:left="567"/>
      </w:pPr>
      <w:r>
        <w:rPr>
          <w:noProof/>
          <w:lang w:val="en-CA" w:eastAsia="en-CA"/>
        </w:rPr>
        <w:drawing>
          <wp:inline distT="0" distB="0" distL="0" distR="0" wp14:anchorId="70A8D7FB" wp14:editId="551BE03A">
            <wp:extent cx="5741377" cy="2441275"/>
            <wp:effectExtent l="0" t="0" r="0" b="0"/>
            <wp:docPr id="9" name="Picture 9" descr="cid:image001.png@01D9204A.BDC36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1.png@01D9204A.BDC36B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816325" cy="2473143"/>
                    </a:xfrm>
                    <a:prstGeom prst="rect">
                      <a:avLst/>
                    </a:prstGeom>
                    <a:noFill/>
                    <a:ln>
                      <a:noFill/>
                    </a:ln>
                  </pic:spPr>
                </pic:pic>
              </a:graphicData>
            </a:graphic>
          </wp:inline>
        </w:drawing>
      </w:r>
    </w:p>
    <w:p w14:paraId="397EF4EA" w14:textId="58F596E3" w:rsidR="002D7DCB" w:rsidRPr="002B1A5B" w:rsidRDefault="002D7DCB" w:rsidP="00281C0F">
      <w:pPr>
        <w:pStyle w:val="Heading2"/>
        <w:spacing w:before="360" w:after="100" w:afterAutospacing="1"/>
      </w:pPr>
      <w:bookmarkStart w:id="11" w:name="_Toc155193122"/>
      <w:r w:rsidRPr="002B1A5B">
        <w:lastRenderedPageBreak/>
        <w:t>3.</w:t>
      </w:r>
      <w:r w:rsidR="00281C0F">
        <w:t>6</w:t>
      </w:r>
      <w:r w:rsidRPr="002B1A5B">
        <w:t xml:space="preserve"> </w:t>
      </w:r>
      <w:r>
        <w:t>Community Paramedicine</w:t>
      </w:r>
      <w:bookmarkEnd w:id="11"/>
    </w:p>
    <w:p w14:paraId="2F2187D5" w14:textId="092D3FCE" w:rsidR="00CA7F8C" w:rsidRDefault="00CC6AD0" w:rsidP="00CC6AD0">
      <w:pPr>
        <w:ind w:left="-567"/>
      </w:pPr>
      <w:r w:rsidRPr="00CC6AD0">
        <w:rPr>
          <w:noProof/>
        </w:rPr>
        <w:drawing>
          <wp:inline distT="0" distB="0" distL="0" distR="0" wp14:anchorId="42DD8E69" wp14:editId="05200F24">
            <wp:extent cx="6651817" cy="1345997"/>
            <wp:effectExtent l="0" t="0" r="0" b="6985"/>
            <wp:docPr id="12342490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30152" cy="1361848"/>
                    </a:xfrm>
                    <a:prstGeom prst="rect">
                      <a:avLst/>
                    </a:prstGeom>
                    <a:noFill/>
                    <a:ln>
                      <a:noFill/>
                    </a:ln>
                  </pic:spPr>
                </pic:pic>
              </a:graphicData>
            </a:graphic>
          </wp:inline>
        </w:drawing>
      </w:r>
    </w:p>
    <w:p w14:paraId="1EB8D51D" w14:textId="250977AC" w:rsidR="007E3BE2" w:rsidRDefault="00BB1FB0" w:rsidP="00CA7F8C">
      <w:pPr>
        <w:pStyle w:val="ListParagraph"/>
        <w:numPr>
          <w:ilvl w:val="0"/>
          <w:numId w:val="35"/>
        </w:numPr>
      </w:pPr>
      <w:r>
        <w:t xml:space="preserve">On March 1, </w:t>
      </w:r>
      <w:r w:rsidR="002C1A11">
        <w:t>2021,</w:t>
      </w:r>
      <w:r>
        <w:t xml:space="preserve"> DNSSAB was approved</w:t>
      </w:r>
      <w:r w:rsidR="009E1139">
        <w:t xml:space="preserve"> by the Ministry of Long-Term Care (MLTC) to operate a community paramedicine </w:t>
      </w:r>
      <w:r w:rsidR="000D0896">
        <w:t xml:space="preserve">(CP) </w:t>
      </w:r>
      <w:r w:rsidR="009E1139">
        <w:t xml:space="preserve">program for a </w:t>
      </w:r>
      <w:r w:rsidR="00AE707F">
        <w:t>three-year</w:t>
      </w:r>
      <w:r w:rsidR="009E1139">
        <w:t xml:space="preserve"> period from January 1, </w:t>
      </w:r>
      <w:proofErr w:type="gramStart"/>
      <w:r w:rsidR="009E1139">
        <w:t>2021</w:t>
      </w:r>
      <w:proofErr w:type="gramEnd"/>
      <w:r w:rsidR="009E1139">
        <w:t xml:space="preserve"> to March 31, 2024. </w:t>
      </w:r>
      <w:r w:rsidR="00D43D53">
        <w:t xml:space="preserve">On June 16, 2023, this program was extended for an additional 2-year period, until March 31, 2026. </w:t>
      </w:r>
      <w:r w:rsidR="009E1139">
        <w:t>This program</w:t>
      </w:r>
      <w:r w:rsidR="00BA7CE6">
        <w:t xml:space="preserve"> (CP LTC)</w:t>
      </w:r>
      <w:r w:rsidR="009E1139">
        <w:t xml:space="preserve"> is 100% provincially funded and provides up to $1 million per year. The program is designed to support seniors on the provincial long-term care waitlist, or soon to be eligible for long-term care, with community paramedicine services in the comfort of their own homes.</w:t>
      </w:r>
    </w:p>
    <w:p w14:paraId="38AE3690" w14:textId="77777777" w:rsidR="00CA7F8C" w:rsidRDefault="00CA7F8C" w:rsidP="00CA7F8C">
      <w:pPr>
        <w:pStyle w:val="ListParagraph"/>
      </w:pPr>
    </w:p>
    <w:p w14:paraId="31E19EB0" w14:textId="7502F060" w:rsidR="00CA7F8C" w:rsidRDefault="000D0896" w:rsidP="00CA7F8C">
      <w:pPr>
        <w:pStyle w:val="ListParagraph"/>
        <w:numPr>
          <w:ilvl w:val="0"/>
          <w:numId w:val="35"/>
        </w:numPr>
      </w:pPr>
      <w:r>
        <w:t>Now that the Paramedic S</w:t>
      </w:r>
      <w:r w:rsidR="00CA7F8C">
        <w:t>ervices transition is complete, the DNSSAB has taken over the delivery of two a</w:t>
      </w:r>
      <w:r>
        <w:t>dditional CP</w:t>
      </w:r>
      <w:r w:rsidR="00CA7F8C">
        <w:t xml:space="preserve"> programs that were previously managed by North Bay Regional Health Centre. These are the CP Base </w:t>
      </w:r>
      <w:r w:rsidR="00263EDC">
        <w:t xml:space="preserve">(Base funding) </w:t>
      </w:r>
      <w:r w:rsidR="00CA7F8C">
        <w:t>and CP GCOP (</w:t>
      </w:r>
      <w:r w:rsidR="00CA7F8C" w:rsidRPr="00CA7F8C">
        <w:t>Geriatric Community-Paramedicine Outreach Program</w:t>
      </w:r>
      <w:r w:rsidR="00CA7F8C">
        <w:t>) programs.</w:t>
      </w:r>
      <w:r>
        <w:t xml:space="preserve"> These programs are both 100% funded by </w:t>
      </w:r>
      <w:r w:rsidR="002067B7">
        <w:t>Ontario Health</w:t>
      </w:r>
      <w:r>
        <w:t xml:space="preserve">. The CP </w:t>
      </w:r>
      <w:r w:rsidR="008B0525">
        <w:t>GCOP</w:t>
      </w:r>
      <w:r>
        <w:t xml:space="preserve"> program only has confirmed funding to March 31, 2023, but </w:t>
      </w:r>
      <w:r w:rsidR="008B0525" w:rsidRPr="008B0525">
        <w:t>Ontario Health has expressed the intention to continue this program as ongoing base funding.</w:t>
      </w:r>
    </w:p>
    <w:p w14:paraId="266F59F8" w14:textId="77777777" w:rsidR="00CA7F8C" w:rsidRDefault="00CA7F8C" w:rsidP="00CA7F8C">
      <w:pPr>
        <w:pStyle w:val="ListParagraph"/>
      </w:pPr>
    </w:p>
    <w:p w14:paraId="4E31FA48" w14:textId="6660A45E" w:rsidR="00CA7F8C" w:rsidRDefault="000D0896" w:rsidP="00A81D0F">
      <w:pPr>
        <w:pStyle w:val="ListParagraph"/>
        <w:numPr>
          <w:ilvl w:val="0"/>
          <w:numId w:val="35"/>
        </w:numPr>
      </w:pPr>
      <w:r>
        <w:t>CP ALC (Alternate Level of Care) is a new</w:t>
      </w:r>
      <w:r w:rsidR="00B735C6">
        <w:t>er</w:t>
      </w:r>
      <w:r>
        <w:t xml:space="preserve"> program</w:t>
      </w:r>
      <w:r w:rsidR="008C426C">
        <w:t xml:space="preserve"> (started in 2023)</w:t>
      </w:r>
      <w:r>
        <w:t xml:space="preserve"> that is also 100% funded by </w:t>
      </w:r>
      <w:r w:rsidR="008C426C">
        <w:t>Ontario Health</w:t>
      </w:r>
      <w:r>
        <w:t xml:space="preserve">. </w:t>
      </w:r>
    </w:p>
    <w:p w14:paraId="495BC52D" w14:textId="77777777" w:rsidR="007D4D64" w:rsidRDefault="007D4D64" w:rsidP="007D4D64">
      <w:pPr>
        <w:pStyle w:val="ListParagraph"/>
      </w:pPr>
    </w:p>
    <w:p w14:paraId="5F365DC9" w14:textId="3E3DE126" w:rsidR="007D4D64" w:rsidRDefault="007D4D64" w:rsidP="00CA7F8C">
      <w:pPr>
        <w:pStyle w:val="ListParagraph"/>
        <w:numPr>
          <w:ilvl w:val="0"/>
          <w:numId w:val="35"/>
        </w:numPr>
      </w:pPr>
      <w:r>
        <w:t xml:space="preserve">Total provincial funding for community paramedicine programs </w:t>
      </w:r>
      <w:r w:rsidR="007378CF">
        <w:t>is</w:t>
      </w:r>
      <w:r>
        <w:t xml:space="preserve"> expected to be $</w:t>
      </w:r>
      <w:r w:rsidR="008C426C">
        <w:t>1,775,588</w:t>
      </w:r>
      <w:r>
        <w:t xml:space="preserve"> in 202</w:t>
      </w:r>
      <w:r w:rsidR="008C426C">
        <w:t>4</w:t>
      </w:r>
      <w:r>
        <w:t>. There is no impact on the municipal levy to operate these programs</w:t>
      </w:r>
      <w:r w:rsidR="007378CF">
        <w:t>.</w:t>
      </w:r>
    </w:p>
    <w:p w14:paraId="1E4E04E2" w14:textId="027F62BB" w:rsidR="00992267" w:rsidRPr="007E3BE2" w:rsidRDefault="00992267"/>
    <w:p w14:paraId="103A34DA" w14:textId="77777777" w:rsidR="007E3BE2" w:rsidRDefault="007E3BE2">
      <w:pPr>
        <w:rPr>
          <w:rFonts w:asciiTheme="majorHAnsi" w:eastAsiaTheme="majorEastAsia" w:hAnsiTheme="majorHAnsi" w:cstheme="majorBidi"/>
          <w:b/>
          <w:bCs/>
          <w:color w:val="4F81BD" w:themeColor="accent1"/>
          <w:sz w:val="26"/>
          <w:szCs w:val="26"/>
        </w:rPr>
      </w:pPr>
      <w:r>
        <w:br w:type="page"/>
      </w:r>
    </w:p>
    <w:p w14:paraId="6E2EA900" w14:textId="03E5DF87" w:rsidR="003C5FAC" w:rsidRPr="002B1A5B" w:rsidRDefault="003C5FAC" w:rsidP="00207A4C">
      <w:pPr>
        <w:pStyle w:val="Heading2"/>
        <w:spacing w:after="100" w:afterAutospacing="1"/>
      </w:pPr>
      <w:bookmarkStart w:id="12" w:name="_Toc155193123"/>
      <w:r w:rsidRPr="002B1A5B">
        <w:lastRenderedPageBreak/>
        <w:t>3.</w:t>
      </w:r>
      <w:r w:rsidR="00281C0F">
        <w:t>7</w:t>
      </w:r>
      <w:r w:rsidRPr="002B1A5B">
        <w:t xml:space="preserve"> Healthy Communities Fund</w:t>
      </w:r>
      <w:bookmarkEnd w:id="12"/>
    </w:p>
    <w:p w14:paraId="25EBA4D1" w14:textId="61D8F2E8" w:rsidR="00851D9D" w:rsidRDefault="00C11D7B" w:rsidP="00851D9D">
      <w:r w:rsidRPr="00C11D7B">
        <w:t xml:space="preserve">The Healthy Communities Fund (HCF) is </w:t>
      </w:r>
      <w:r w:rsidR="00E154F7">
        <w:t xml:space="preserve">a non-mandated program </w:t>
      </w:r>
      <w:r w:rsidRPr="00C11D7B">
        <w:t xml:space="preserve">administered by </w:t>
      </w:r>
      <w:r w:rsidR="00DC7D0A">
        <w:t xml:space="preserve">the </w:t>
      </w:r>
      <w:r w:rsidRPr="00C11D7B">
        <w:t xml:space="preserve">DNSSAB on behalf of the </w:t>
      </w:r>
      <w:proofErr w:type="gramStart"/>
      <w:r w:rsidR="007304FF">
        <w:t>D</w:t>
      </w:r>
      <w:r w:rsidRPr="00C11D7B">
        <w:t>istrict’s</w:t>
      </w:r>
      <w:proofErr w:type="gramEnd"/>
      <w:r w:rsidRPr="00C11D7B">
        <w:t xml:space="preserve"> municipalities. Currently, the fund is focused on poverty reduction in Nipissing District</w:t>
      </w:r>
      <w:r w:rsidR="00851D9D">
        <w:t>.</w:t>
      </w:r>
      <w:r w:rsidRPr="00C11D7B">
        <w:t xml:space="preserve"> </w:t>
      </w:r>
      <w:r w:rsidR="00851D9D">
        <w:t>Previously, HCF was</w:t>
      </w:r>
      <w:r w:rsidRPr="00C11D7B">
        <w:t xml:space="preserve"> allocated to various organizations and their projects/programs through an annual application process</w:t>
      </w:r>
      <w:r w:rsidR="00637C46">
        <w:t>.</w:t>
      </w:r>
      <w:r w:rsidR="002A7348">
        <w:t xml:space="preserve"> </w:t>
      </w:r>
      <w:r w:rsidR="00851D9D">
        <w:t>Per briefing note B25-21</w:t>
      </w:r>
      <w:r w:rsidR="00AE707F">
        <w:t>,</w:t>
      </w:r>
      <w:r w:rsidR="00851D9D">
        <w:t xml:space="preserve"> that was approved by the Board in November 2021, funding </w:t>
      </w:r>
      <w:r w:rsidR="00AC6C75">
        <w:t>has been</w:t>
      </w:r>
      <w:r w:rsidR="00851D9D">
        <w:t xml:space="preserve"> annualized to s</w:t>
      </w:r>
      <w:r w:rsidR="00CA5BAA">
        <w:t>pecific</w:t>
      </w:r>
      <w:r w:rsidR="00851D9D">
        <w:t xml:space="preserve"> organizations based on previous funding allocations and results from a Community Advisory Board survey</w:t>
      </w:r>
      <w:r w:rsidR="00947759">
        <w:t xml:space="preserve"> in April 2021</w:t>
      </w:r>
      <w:r w:rsidR="00851D9D">
        <w:t>. The table below shows the distribution of funds by organization and their respective programs/services.</w:t>
      </w:r>
    </w:p>
    <w:p w14:paraId="742B54D7" w14:textId="1B72A707" w:rsidR="00902233" w:rsidRDefault="00165E6E" w:rsidP="00902233">
      <w:r w:rsidRPr="00165E6E">
        <w:t xml:space="preserve">The Gateway Hub is being consolidated into the </w:t>
      </w:r>
      <w:r>
        <w:t>HCF</w:t>
      </w:r>
      <w:r w:rsidRPr="00165E6E">
        <w:t xml:space="preserve"> to combine all community funding that does not fall under Ontario Works, Housing</w:t>
      </w:r>
      <w:r>
        <w:t xml:space="preserve"> Services</w:t>
      </w:r>
      <w:r w:rsidRPr="00165E6E">
        <w:t>, Children’s Services or Paramedic Services mandates, into one program.</w:t>
      </w:r>
      <w:r>
        <w:t xml:space="preserve"> </w:t>
      </w:r>
      <w:r w:rsidR="00902233" w:rsidRPr="008F1E40">
        <w:t xml:space="preserve">The Gateway Hub </w:t>
      </w:r>
      <w:r w:rsidR="00E154F7">
        <w:t xml:space="preserve">is a situation table and </w:t>
      </w:r>
      <w:r w:rsidR="00902233" w:rsidRPr="008F1E40">
        <w:t xml:space="preserve">was established in </w:t>
      </w:r>
      <w:r w:rsidR="00902233">
        <w:t>the Nipissing district</w:t>
      </w:r>
      <w:r w:rsidR="00902233" w:rsidRPr="008F1E40">
        <w:t xml:space="preserve"> in 2013. A situation table is a strategic alliance of human service providers, guided by common principles and processes</w:t>
      </w:r>
      <w:r w:rsidR="00902233">
        <w:t>,</w:t>
      </w:r>
      <w:r w:rsidR="00902233" w:rsidRPr="008F1E40">
        <w:t xml:space="preserve"> </w:t>
      </w:r>
      <w:r w:rsidR="00902233">
        <w:t>that</w:t>
      </w:r>
      <w:r w:rsidR="00902233" w:rsidRPr="008F1E40">
        <w:t xml:space="preserve"> review</w:t>
      </w:r>
      <w:r w:rsidR="00902233">
        <w:t>s</w:t>
      </w:r>
      <w:r w:rsidR="00902233" w:rsidRPr="008F1E40">
        <w:t xml:space="preserve"> situations of acutely elevated risk (AER) to determine if an individual or family is at imminent risk of harm and victimization.  In cases that are determined to have AER, utilizing a strict four filter process, interventions are </w:t>
      </w:r>
      <w:r w:rsidR="009E2239" w:rsidRPr="008F1E40">
        <w:t>coordinated,</w:t>
      </w:r>
      <w:r w:rsidR="00902233" w:rsidRPr="008F1E40">
        <w:t xml:space="preserve"> and lead agencies are identified.  Privacy is essential to the success of the Gateway Hub table and only de-identified data for each situation is captured for data analysis and </w:t>
      </w:r>
      <w:r w:rsidR="009E2239" w:rsidRPr="008F1E40">
        <w:t>decision-making</w:t>
      </w:r>
      <w:r w:rsidR="00902233" w:rsidRPr="008F1E40">
        <w:t xml:space="preserve"> purposes.</w:t>
      </w:r>
    </w:p>
    <w:p w14:paraId="10B3AAE1" w14:textId="742161D4" w:rsidR="00902233" w:rsidRDefault="00165E6E" w:rsidP="00902233">
      <w:r>
        <w:t>The total annual HCF budget of $320,000 remains unchanged from the previous year.</w:t>
      </w:r>
    </w:p>
    <w:tbl>
      <w:tblPr>
        <w:tblStyle w:val="GridTable4-Accent1"/>
        <w:tblW w:w="0" w:type="auto"/>
        <w:tblLook w:val="04E0" w:firstRow="1" w:lastRow="1" w:firstColumn="1" w:lastColumn="0" w:noHBand="0" w:noVBand="1"/>
      </w:tblPr>
      <w:tblGrid>
        <w:gridCol w:w="2972"/>
        <w:gridCol w:w="4820"/>
        <w:gridCol w:w="1558"/>
      </w:tblGrid>
      <w:tr w:rsidR="00902233" w14:paraId="1B859A1E" w14:textId="77777777" w:rsidTr="009022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8AD67EB" w14:textId="43EEAEEE" w:rsidR="00902233" w:rsidRDefault="00902233" w:rsidP="00851D9D">
            <w:r>
              <w:t>Organization</w:t>
            </w:r>
          </w:p>
        </w:tc>
        <w:tc>
          <w:tcPr>
            <w:tcW w:w="4820" w:type="dxa"/>
          </w:tcPr>
          <w:p w14:paraId="4F78595E" w14:textId="6A49958F" w:rsidR="00902233" w:rsidRDefault="00902233" w:rsidP="00851D9D">
            <w:pPr>
              <w:cnfStyle w:val="100000000000" w:firstRow="1" w:lastRow="0" w:firstColumn="0" w:lastColumn="0" w:oddVBand="0" w:evenVBand="0" w:oddHBand="0" w:evenHBand="0" w:firstRowFirstColumn="0" w:firstRowLastColumn="0" w:lastRowFirstColumn="0" w:lastRowLastColumn="0"/>
            </w:pPr>
            <w:r>
              <w:t>Program/Service</w:t>
            </w:r>
          </w:p>
        </w:tc>
        <w:tc>
          <w:tcPr>
            <w:tcW w:w="1558" w:type="dxa"/>
          </w:tcPr>
          <w:p w14:paraId="5709516D" w14:textId="06C9C3E2" w:rsidR="00902233" w:rsidRDefault="00902233" w:rsidP="00902233">
            <w:pPr>
              <w:jc w:val="right"/>
              <w:cnfStyle w:val="100000000000" w:firstRow="1" w:lastRow="0" w:firstColumn="0" w:lastColumn="0" w:oddVBand="0" w:evenVBand="0" w:oddHBand="0" w:evenHBand="0" w:firstRowFirstColumn="0" w:firstRowLastColumn="0" w:lastRowFirstColumn="0" w:lastRowLastColumn="0"/>
            </w:pPr>
            <w:r>
              <w:t>Annual Funding</w:t>
            </w:r>
          </w:p>
        </w:tc>
      </w:tr>
      <w:tr w:rsidR="00902233" w14:paraId="52E5C170" w14:textId="77777777" w:rsidTr="00902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762A5E" w14:textId="0039D43D" w:rsidR="00902233" w:rsidRDefault="00902233" w:rsidP="00851D9D">
            <w:r>
              <w:t>Crisis Centre North Bay</w:t>
            </w:r>
          </w:p>
        </w:tc>
        <w:tc>
          <w:tcPr>
            <w:tcW w:w="4820" w:type="dxa"/>
          </w:tcPr>
          <w:p w14:paraId="23443E34" w14:textId="52B5C604" w:rsidR="00902233" w:rsidRDefault="00902233" w:rsidP="00851D9D">
            <w:pPr>
              <w:cnfStyle w:val="000000100000" w:firstRow="0" w:lastRow="0" w:firstColumn="0" w:lastColumn="0" w:oddVBand="0" w:evenVBand="0" w:oddHBand="1" w:evenHBand="0" w:firstRowFirstColumn="0" w:firstRowLastColumn="0" w:lastRowFirstColumn="0" w:lastRowLastColumn="0"/>
            </w:pPr>
            <w:r>
              <w:t>ID Clinic</w:t>
            </w:r>
          </w:p>
        </w:tc>
        <w:tc>
          <w:tcPr>
            <w:tcW w:w="1558" w:type="dxa"/>
          </w:tcPr>
          <w:p w14:paraId="0C1313A8" w14:textId="4ADCA259" w:rsidR="00902233" w:rsidRDefault="00902233" w:rsidP="00902233">
            <w:pPr>
              <w:jc w:val="right"/>
              <w:cnfStyle w:val="000000100000" w:firstRow="0" w:lastRow="0" w:firstColumn="0" w:lastColumn="0" w:oddVBand="0" w:evenVBand="0" w:oddHBand="1" w:evenHBand="0" w:firstRowFirstColumn="0" w:firstRowLastColumn="0" w:lastRowFirstColumn="0" w:lastRowLastColumn="0"/>
            </w:pPr>
            <w:r>
              <w:t>$30,000</w:t>
            </w:r>
          </w:p>
        </w:tc>
      </w:tr>
      <w:tr w:rsidR="00902233" w14:paraId="098D58F2" w14:textId="77777777" w:rsidTr="00902233">
        <w:tc>
          <w:tcPr>
            <w:cnfStyle w:val="001000000000" w:firstRow="0" w:lastRow="0" w:firstColumn="1" w:lastColumn="0" w:oddVBand="0" w:evenVBand="0" w:oddHBand="0" w:evenHBand="0" w:firstRowFirstColumn="0" w:firstRowLastColumn="0" w:lastRowFirstColumn="0" w:lastRowLastColumn="0"/>
            <w:tcW w:w="2972" w:type="dxa"/>
          </w:tcPr>
          <w:p w14:paraId="533AC25F" w14:textId="77777777" w:rsidR="00902233" w:rsidRDefault="00902233" w:rsidP="00851D9D"/>
        </w:tc>
        <w:tc>
          <w:tcPr>
            <w:tcW w:w="4820" w:type="dxa"/>
          </w:tcPr>
          <w:p w14:paraId="103FAACE" w14:textId="2B9009E5" w:rsidR="00902233" w:rsidRDefault="00902233" w:rsidP="00851D9D">
            <w:pPr>
              <w:cnfStyle w:val="000000000000" w:firstRow="0" w:lastRow="0" w:firstColumn="0" w:lastColumn="0" w:oddVBand="0" w:evenVBand="0" w:oddHBand="0" w:evenHBand="0" w:firstRowFirstColumn="0" w:firstRowLastColumn="0" w:lastRowFirstColumn="0" w:lastRowLastColumn="0"/>
            </w:pPr>
            <w:r>
              <w:t xml:space="preserve">Food Security </w:t>
            </w:r>
          </w:p>
        </w:tc>
        <w:tc>
          <w:tcPr>
            <w:tcW w:w="1558" w:type="dxa"/>
          </w:tcPr>
          <w:p w14:paraId="758850B6" w14:textId="2AE3E315" w:rsidR="00902233" w:rsidRDefault="00902233" w:rsidP="00902233">
            <w:pPr>
              <w:jc w:val="right"/>
              <w:cnfStyle w:val="000000000000" w:firstRow="0" w:lastRow="0" w:firstColumn="0" w:lastColumn="0" w:oddVBand="0" w:evenVBand="0" w:oddHBand="0" w:evenHBand="0" w:firstRowFirstColumn="0" w:firstRowLastColumn="0" w:lastRowFirstColumn="0" w:lastRowLastColumn="0"/>
            </w:pPr>
            <w:r>
              <w:t>$25,000</w:t>
            </w:r>
          </w:p>
        </w:tc>
      </w:tr>
      <w:tr w:rsidR="00902233" w14:paraId="5C48D7F6" w14:textId="77777777" w:rsidTr="00902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99F516" w14:textId="5BCF6D8D" w:rsidR="00902233" w:rsidRDefault="00902233" w:rsidP="00851D9D">
            <w:r>
              <w:t>The Gathering Place</w:t>
            </w:r>
          </w:p>
        </w:tc>
        <w:tc>
          <w:tcPr>
            <w:tcW w:w="4820" w:type="dxa"/>
          </w:tcPr>
          <w:p w14:paraId="435C172C" w14:textId="4184076C" w:rsidR="00902233" w:rsidRDefault="00902233" w:rsidP="00851D9D">
            <w:pPr>
              <w:cnfStyle w:val="000000100000" w:firstRow="0" w:lastRow="0" w:firstColumn="0" w:lastColumn="0" w:oddVBand="0" w:evenVBand="0" w:oddHBand="1" w:evenHBand="0" w:firstRowFirstColumn="0" w:firstRowLastColumn="0" w:lastRowFirstColumn="0" w:lastRowLastColumn="0"/>
            </w:pPr>
            <w:r>
              <w:t>Souper Suppers</w:t>
            </w:r>
          </w:p>
        </w:tc>
        <w:tc>
          <w:tcPr>
            <w:tcW w:w="1558" w:type="dxa"/>
          </w:tcPr>
          <w:p w14:paraId="3EF1C615" w14:textId="132B065F" w:rsidR="00902233" w:rsidRDefault="00902233" w:rsidP="00902233">
            <w:pPr>
              <w:jc w:val="right"/>
              <w:cnfStyle w:val="000000100000" w:firstRow="0" w:lastRow="0" w:firstColumn="0" w:lastColumn="0" w:oddVBand="0" w:evenVBand="0" w:oddHBand="1" w:evenHBand="0" w:firstRowFirstColumn="0" w:firstRowLastColumn="0" w:lastRowFirstColumn="0" w:lastRowLastColumn="0"/>
            </w:pPr>
            <w:r>
              <w:t>$20,000</w:t>
            </w:r>
          </w:p>
        </w:tc>
      </w:tr>
      <w:tr w:rsidR="00902233" w14:paraId="0C1DC282" w14:textId="77777777" w:rsidTr="00902233">
        <w:tc>
          <w:tcPr>
            <w:cnfStyle w:val="001000000000" w:firstRow="0" w:lastRow="0" w:firstColumn="1" w:lastColumn="0" w:oddVBand="0" w:evenVBand="0" w:oddHBand="0" w:evenHBand="0" w:firstRowFirstColumn="0" w:firstRowLastColumn="0" w:lastRowFirstColumn="0" w:lastRowLastColumn="0"/>
            <w:tcW w:w="2972" w:type="dxa"/>
          </w:tcPr>
          <w:p w14:paraId="7191EB61" w14:textId="77777777" w:rsidR="00902233" w:rsidRDefault="00902233" w:rsidP="00851D9D"/>
        </w:tc>
        <w:tc>
          <w:tcPr>
            <w:tcW w:w="4820" w:type="dxa"/>
          </w:tcPr>
          <w:p w14:paraId="05FFE17A" w14:textId="42FCE28A" w:rsidR="00902233" w:rsidRDefault="00902233" w:rsidP="00851D9D">
            <w:pPr>
              <w:cnfStyle w:val="000000000000" w:firstRow="0" w:lastRow="0" w:firstColumn="0" w:lastColumn="0" w:oddVBand="0" w:evenVBand="0" w:oddHBand="0" w:evenHBand="0" w:firstRowFirstColumn="0" w:firstRowLastColumn="0" w:lastRowFirstColumn="0" w:lastRowLastColumn="0"/>
            </w:pPr>
            <w:r>
              <w:t>Food Outreach</w:t>
            </w:r>
          </w:p>
        </w:tc>
        <w:tc>
          <w:tcPr>
            <w:tcW w:w="1558" w:type="dxa"/>
          </w:tcPr>
          <w:p w14:paraId="4479B4E6" w14:textId="25DA7D6E" w:rsidR="00902233" w:rsidRDefault="00902233" w:rsidP="00902233">
            <w:pPr>
              <w:jc w:val="right"/>
              <w:cnfStyle w:val="000000000000" w:firstRow="0" w:lastRow="0" w:firstColumn="0" w:lastColumn="0" w:oddVBand="0" w:evenVBand="0" w:oddHBand="0" w:evenHBand="0" w:firstRowFirstColumn="0" w:firstRowLastColumn="0" w:lastRowFirstColumn="0" w:lastRowLastColumn="0"/>
            </w:pPr>
            <w:r>
              <w:t>$30,000</w:t>
            </w:r>
          </w:p>
        </w:tc>
      </w:tr>
      <w:tr w:rsidR="00902233" w14:paraId="57A442CE" w14:textId="77777777" w:rsidTr="00902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CBBBEBB" w14:textId="08CC5BCB" w:rsidR="00902233" w:rsidRDefault="00902233" w:rsidP="00851D9D">
            <w:r>
              <w:t>Nipissing First Nation</w:t>
            </w:r>
          </w:p>
        </w:tc>
        <w:tc>
          <w:tcPr>
            <w:tcW w:w="4820" w:type="dxa"/>
          </w:tcPr>
          <w:p w14:paraId="7990ED0A" w14:textId="7DB700D1" w:rsidR="00902233" w:rsidRDefault="00902233" w:rsidP="00851D9D">
            <w:pPr>
              <w:cnfStyle w:val="000000100000" w:firstRow="0" w:lastRow="0" w:firstColumn="0" w:lastColumn="0" w:oddVBand="0" w:evenVBand="0" w:oddHBand="1" w:evenHBand="0" w:firstRowFirstColumn="0" w:firstRowLastColumn="0" w:lastRowFirstColumn="0" w:lastRowLastColumn="0"/>
            </w:pPr>
            <w:r w:rsidRPr="00902233">
              <w:t xml:space="preserve">True Self </w:t>
            </w:r>
            <w:proofErr w:type="spellStart"/>
            <w:r w:rsidRPr="00902233">
              <w:t>Debwewendizwin</w:t>
            </w:r>
            <w:proofErr w:type="spellEnd"/>
            <w:r w:rsidRPr="00902233">
              <w:t xml:space="preserve"> </w:t>
            </w:r>
            <w:r>
              <w:t>Rural Outreach</w:t>
            </w:r>
          </w:p>
        </w:tc>
        <w:tc>
          <w:tcPr>
            <w:tcW w:w="1558" w:type="dxa"/>
          </w:tcPr>
          <w:p w14:paraId="47E2820F" w14:textId="17B9D71D" w:rsidR="00902233" w:rsidRDefault="00902233" w:rsidP="00902233">
            <w:pPr>
              <w:jc w:val="right"/>
              <w:cnfStyle w:val="000000100000" w:firstRow="0" w:lastRow="0" w:firstColumn="0" w:lastColumn="0" w:oddVBand="0" w:evenVBand="0" w:oddHBand="1" w:evenHBand="0" w:firstRowFirstColumn="0" w:firstRowLastColumn="0" w:lastRowFirstColumn="0" w:lastRowLastColumn="0"/>
            </w:pPr>
            <w:r>
              <w:t>$55,000</w:t>
            </w:r>
          </w:p>
        </w:tc>
      </w:tr>
      <w:tr w:rsidR="00902233" w14:paraId="1705FEF0" w14:textId="77777777" w:rsidTr="00902233">
        <w:tc>
          <w:tcPr>
            <w:cnfStyle w:val="001000000000" w:firstRow="0" w:lastRow="0" w:firstColumn="1" w:lastColumn="0" w:oddVBand="0" w:evenVBand="0" w:oddHBand="0" w:evenHBand="0" w:firstRowFirstColumn="0" w:firstRowLastColumn="0" w:lastRowFirstColumn="0" w:lastRowLastColumn="0"/>
            <w:tcW w:w="2972" w:type="dxa"/>
          </w:tcPr>
          <w:p w14:paraId="53A3AC01" w14:textId="54075EAD" w:rsidR="00902233" w:rsidRDefault="00902233" w:rsidP="00851D9D">
            <w:r>
              <w:t>Salvation Army</w:t>
            </w:r>
          </w:p>
        </w:tc>
        <w:tc>
          <w:tcPr>
            <w:tcW w:w="4820" w:type="dxa"/>
          </w:tcPr>
          <w:p w14:paraId="490A9407" w14:textId="1B1B6582" w:rsidR="00902233" w:rsidRDefault="00902233" w:rsidP="00851D9D">
            <w:pPr>
              <w:cnfStyle w:val="000000000000" w:firstRow="0" w:lastRow="0" w:firstColumn="0" w:lastColumn="0" w:oddVBand="0" w:evenVBand="0" w:oddHBand="0" w:evenHBand="0" w:firstRowFirstColumn="0" w:firstRowLastColumn="0" w:lastRowFirstColumn="0" w:lastRowLastColumn="0"/>
            </w:pPr>
            <w:r>
              <w:t>Household Setup</w:t>
            </w:r>
          </w:p>
        </w:tc>
        <w:tc>
          <w:tcPr>
            <w:tcW w:w="1558" w:type="dxa"/>
          </w:tcPr>
          <w:p w14:paraId="35DDBF70" w14:textId="37467D45" w:rsidR="00902233" w:rsidRDefault="00902233" w:rsidP="00902233">
            <w:pPr>
              <w:jc w:val="right"/>
              <w:cnfStyle w:val="000000000000" w:firstRow="0" w:lastRow="0" w:firstColumn="0" w:lastColumn="0" w:oddVBand="0" w:evenVBand="0" w:oddHBand="0" w:evenHBand="0" w:firstRowFirstColumn="0" w:firstRowLastColumn="0" w:lastRowFirstColumn="0" w:lastRowLastColumn="0"/>
            </w:pPr>
            <w:r>
              <w:t>$10,000</w:t>
            </w:r>
          </w:p>
        </w:tc>
      </w:tr>
      <w:tr w:rsidR="00902233" w14:paraId="2D8E1A71" w14:textId="77777777" w:rsidTr="00902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11E918" w14:textId="3F440126" w:rsidR="00902233" w:rsidRDefault="00902233" w:rsidP="00902233">
            <w:r w:rsidRPr="00902233">
              <w:t>Low Income People Involvement</w:t>
            </w:r>
          </w:p>
        </w:tc>
        <w:tc>
          <w:tcPr>
            <w:tcW w:w="4820" w:type="dxa"/>
          </w:tcPr>
          <w:p w14:paraId="3628287E" w14:textId="1A93A923" w:rsidR="00902233" w:rsidRDefault="00902233" w:rsidP="00902233">
            <w:pPr>
              <w:cnfStyle w:val="000000100000" w:firstRow="0" w:lastRow="0" w:firstColumn="0" w:lastColumn="0" w:oddVBand="0" w:evenVBand="0" w:oddHBand="1" w:evenHBand="0" w:firstRowFirstColumn="0" w:firstRowLastColumn="0" w:lastRowFirstColumn="0" w:lastRowLastColumn="0"/>
            </w:pPr>
            <w:r w:rsidRPr="00902233">
              <w:t>Emergency Dental Assistance</w:t>
            </w:r>
          </w:p>
        </w:tc>
        <w:tc>
          <w:tcPr>
            <w:tcW w:w="1558" w:type="dxa"/>
          </w:tcPr>
          <w:p w14:paraId="3DA63D65" w14:textId="3FBFDCB8" w:rsidR="00902233" w:rsidRDefault="00902233" w:rsidP="00902233">
            <w:pPr>
              <w:jc w:val="right"/>
              <w:cnfStyle w:val="000000100000" w:firstRow="0" w:lastRow="0" w:firstColumn="0" w:lastColumn="0" w:oddVBand="0" w:evenVBand="0" w:oddHBand="1" w:evenHBand="0" w:firstRowFirstColumn="0" w:firstRowLastColumn="0" w:lastRowFirstColumn="0" w:lastRowLastColumn="0"/>
            </w:pPr>
            <w:r>
              <w:t>$30,000</w:t>
            </w:r>
          </w:p>
        </w:tc>
      </w:tr>
      <w:tr w:rsidR="00902233" w14:paraId="663B3266" w14:textId="77777777" w:rsidTr="00902233">
        <w:tc>
          <w:tcPr>
            <w:cnfStyle w:val="001000000000" w:firstRow="0" w:lastRow="0" w:firstColumn="1" w:lastColumn="0" w:oddVBand="0" w:evenVBand="0" w:oddHBand="0" w:evenHBand="0" w:firstRowFirstColumn="0" w:firstRowLastColumn="0" w:lastRowFirstColumn="0" w:lastRowLastColumn="0"/>
            <w:tcW w:w="2972" w:type="dxa"/>
          </w:tcPr>
          <w:p w14:paraId="51F5A667" w14:textId="77777777" w:rsidR="00902233" w:rsidRDefault="00902233" w:rsidP="00902233"/>
        </w:tc>
        <w:tc>
          <w:tcPr>
            <w:tcW w:w="4820" w:type="dxa"/>
          </w:tcPr>
          <w:p w14:paraId="57FD9DA0" w14:textId="4B594B78" w:rsidR="00902233" w:rsidRDefault="00902233" w:rsidP="00902233">
            <w:pPr>
              <w:cnfStyle w:val="000000000000" w:firstRow="0" w:lastRow="0" w:firstColumn="0" w:lastColumn="0" w:oddVBand="0" w:evenVBand="0" w:oddHBand="0" w:evenHBand="0" w:firstRowFirstColumn="0" w:firstRowLastColumn="0" w:lastRowFirstColumn="0" w:lastRowLastColumn="0"/>
            </w:pPr>
            <w:r w:rsidRPr="00902233">
              <w:t>Essential Health</w:t>
            </w:r>
          </w:p>
        </w:tc>
        <w:tc>
          <w:tcPr>
            <w:tcW w:w="1558" w:type="dxa"/>
          </w:tcPr>
          <w:p w14:paraId="3794E5A8" w14:textId="5525A9B3" w:rsidR="00902233" w:rsidRDefault="00902233" w:rsidP="00902233">
            <w:pPr>
              <w:jc w:val="right"/>
              <w:cnfStyle w:val="000000000000" w:firstRow="0" w:lastRow="0" w:firstColumn="0" w:lastColumn="0" w:oddVBand="0" w:evenVBand="0" w:oddHBand="0" w:evenHBand="0" w:firstRowFirstColumn="0" w:firstRowLastColumn="0" w:lastRowFirstColumn="0" w:lastRowLastColumn="0"/>
            </w:pPr>
            <w:r>
              <w:t>$30,000</w:t>
            </w:r>
          </w:p>
        </w:tc>
      </w:tr>
      <w:tr w:rsidR="00902233" w14:paraId="4B339DB8" w14:textId="77777777" w:rsidTr="00902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DB86A1" w14:textId="77777777" w:rsidR="00902233" w:rsidRDefault="00902233" w:rsidP="00902233"/>
        </w:tc>
        <w:tc>
          <w:tcPr>
            <w:tcW w:w="4820" w:type="dxa"/>
          </w:tcPr>
          <w:p w14:paraId="31C8AD33" w14:textId="7CDA5FEC" w:rsidR="00902233" w:rsidRDefault="00902233" w:rsidP="00902233">
            <w:pPr>
              <w:cnfStyle w:val="000000100000" w:firstRow="0" w:lastRow="0" w:firstColumn="0" w:lastColumn="0" w:oddVBand="0" w:evenVBand="0" w:oddHBand="1" w:evenHBand="0" w:firstRowFirstColumn="0" w:firstRowLastColumn="0" w:lastRowFirstColumn="0" w:lastRowLastColumn="0"/>
            </w:pPr>
            <w:r w:rsidRPr="00902233">
              <w:t>Denture Assistance</w:t>
            </w:r>
          </w:p>
        </w:tc>
        <w:tc>
          <w:tcPr>
            <w:tcW w:w="1558" w:type="dxa"/>
          </w:tcPr>
          <w:p w14:paraId="7AA947C7" w14:textId="02F99288" w:rsidR="00902233" w:rsidRDefault="00902233" w:rsidP="00902233">
            <w:pPr>
              <w:jc w:val="right"/>
              <w:cnfStyle w:val="000000100000" w:firstRow="0" w:lastRow="0" w:firstColumn="0" w:lastColumn="0" w:oddVBand="0" w:evenVBand="0" w:oddHBand="1" w:evenHBand="0" w:firstRowFirstColumn="0" w:firstRowLastColumn="0" w:lastRowFirstColumn="0" w:lastRowLastColumn="0"/>
            </w:pPr>
            <w:r>
              <w:t>$30,000</w:t>
            </w:r>
          </w:p>
        </w:tc>
      </w:tr>
      <w:tr w:rsidR="00902233" w14:paraId="7FB2B043" w14:textId="77777777" w:rsidTr="00902233">
        <w:tc>
          <w:tcPr>
            <w:cnfStyle w:val="001000000000" w:firstRow="0" w:lastRow="0" w:firstColumn="1" w:lastColumn="0" w:oddVBand="0" w:evenVBand="0" w:oddHBand="0" w:evenHBand="0" w:firstRowFirstColumn="0" w:firstRowLastColumn="0" w:lastRowFirstColumn="0" w:lastRowLastColumn="0"/>
            <w:tcW w:w="2972" w:type="dxa"/>
          </w:tcPr>
          <w:p w14:paraId="38B9421F" w14:textId="77777777" w:rsidR="00902233" w:rsidRDefault="00902233" w:rsidP="00902233"/>
        </w:tc>
        <w:tc>
          <w:tcPr>
            <w:tcW w:w="4820" w:type="dxa"/>
          </w:tcPr>
          <w:p w14:paraId="362A6A0B" w14:textId="52DAB494" w:rsidR="00902233" w:rsidRDefault="00902233" w:rsidP="00902233">
            <w:pPr>
              <w:cnfStyle w:val="000000000000" w:firstRow="0" w:lastRow="0" w:firstColumn="0" w:lastColumn="0" w:oddVBand="0" w:evenVBand="0" w:oddHBand="0" w:evenHBand="0" w:firstRowFirstColumn="0" w:firstRowLastColumn="0" w:lastRowFirstColumn="0" w:lastRowLastColumn="0"/>
            </w:pPr>
            <w:r w:rsidRPr="00902233">
              <w:t>Community Volunteer Tax Program</w:t>
            </w:r>
          </w:p>
        </w:tc>
        <w:tc>
          <w:tcPr>
            <w:tcW w:w="1558" w:type="dxa"/>
          </w:tcPr>
          <w:p w14:paraId="1432E61D" w14:textId="26DAAAF0" w:rsidR="00902233" w:rsidRDefault="00902233" w:rsidP="00902233">
            <w:pPr>
              <w:jc w:val="right"/>
              <w:cnfStyle w:val="000000000000" w:firstRow="0" w:lastRow="0" w:firstColumn="0" w:lastColumn="0" w:oddVBand="0" w:evenVBand="0" w:oddHBand="0" w:evenHBand="0" w:firstRowFirstColumn="0" w:firstRowLastColumn="0" w:lastRowFirstColumn="0" w:lastRowLastColumn="0"/>
            </w:pPr>
            <w:r>
              <w:t>$10,000</w:t>
            </w:r>
          </w:p>
        </w:tc>
      </w:tr>
      <w:tr w:rsidR="00902233" w14:paraId="0DDB951B" w14:textId="77777777" w:rsidTr="00902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4197B8" w14:textId="77777777" w:rsidR="00902233" w:rsidRDefault="00902233" w:rsidP="00902233"/>
        </w:tc>
        <w:tc>
          <w:tcPr>
            <w:tcW w:w="4820" w:type="dxa"/>
          </w:tcPr>
          <w:p w14:paraId="4C660BD1" w14:textId="1463716D" w:rsidR="00902233" w:rsidRDefault="00902233" w:rsidP="00902233">
            <w:pPr>
              <w:cnfStyle w:val="000000100000" w:firstRow="0" w:lastRow="0" w:firstColumn="0" w:lastColumn="0" w:oddVBand="0" w:evenVBand="0" w:oddHBand="1" w:evenHBand="0" w:firstRowFirstColumn="0" w:firstRowLastColumn="0" w:lastRowFirstColumn="0" w:lastRowLastColumn="0"/>
            </w:pPr>
            <w:r w:rsidRPr="00902233">
              <w:t>Community Recreation and Engagement</w:t>
            </w:r>
          </w:p>
        </w:tc>
        <w:tc>
          <w:tcPr>
            <w:tcW w:w="1558" w:type="dxa"/>
          </w:tcPr>
          <w:p w14:paraId="01E01D95" w14:textId="0DBDD19D" w:rsidR="00902233" w:rsidRDefault="00902233" w:rsidP="00902233">
            <w:pPr>
              <w:jc w:val="right"/>
              <w:cnfStyle w:val="000000100000" w:firstRow="0" w:lastRow="0" w:firstColumn="0" w:lastColumn="0" w:oddVBand="0" w:evenVBand="0" w:oddHBand="1" w:evenHBand="0" w:firstRowFirstColumn="0" w:firstRowLastColumn="0" w:lastRowFirstColumn="0" w:lastRowLastColumn="0"/>
            </w:pPr>
            <w:r>
              <w:t>$30,000</w:t>
            </w:r>
          </w:p>
        </w:tc>
      </w:tr>
      <w:tr w:rsidR="00902233" w14:paraId="217CF234" w14:textId="77777777" w:rsidTr="00902233">
        <w:tc>
          <w:tcPr>
            <w:cnfStyle w:val="001000000000" w:firstRow="0" w:lastRow="0" w:firstColumn="1" w:lastColumn="0" w:oddVBand="0" w:evenVBand="0" w:oddHBand="0" w:evenHBand="0" w:firstRowFirstColumn="0" w:firstRowLastColumn="0" w:lastRowFirstColumn="0" w:lastRowLastColumn="0"/>
            <w:tcW w:w="2972" w:type="dxa"/>
          </w:tcPr>
          <w:p w14:paraId="33D7A19D" w14:textId="7A7F9687" w:rsidR="00902233" w:rsidRDefault="00902233" w:rsidP="00902233">
            <w:r w:rsidRPr="00902233">
              <w:t>North Bay Parry Sound District Health Unit</w:t>
            </w:r>
          </w:p>
        </w:tc>
        <w:tc>
          <w:tcPr>
            <w:tcW w:w="4820" w:type="dxa"/>
          </w:tcPr>
          <w:p w14:paraId="725FC392" w14:textId="5846EB29" w:rsidR="00902233" w:rsidRDefault="00902233" w:rsidP="00902233">
            <w:pPr>
              <w:cnfStyle w:val="000000000000" w:firstRow="0" w:lastRow="0" w:firstColumn="0" w:lastColumn="0" w:oddVBand="0" w:evenVBand="0" w:oddHBand="0" w:evenHBand="0" w:firstRowFirstColumn="0" w:firstRowLastColumn="0" w:lastRowFirstColumn="0" w:lastRowLastColumn="0"/>
            </w:pPr>
            <w:r>
              <w:t>Gateway Hub</w:t>
            </w:r>
          </w:p>
        </w:tc>
        <w:tc>
          <w:tcPr>
            <w:tcW w:w="1558" w:type="dxa"/>
          </w:tcPr>
          <w:p w14:paraId="5EDEB970" w14:textId="0F4E1A6A" w:rsidR="00902233" w:rsidRDefault="00902233" w:rsidP="00902233">
            <w:pPr>
              <w:jc w:val="right"/>
              <w:cnfStyle w:val="000000000000" w:firstRow="0" w:lastRow="0" w:firstColumn="0" w:lastColumn="0" w:oddVBand="0" w:evenVBand="0" w:oddHBand="0" w:evenHBand="0" w:firstRowFirstColumn="0" w:firstRowLastColumn="0" w:lastRowFirstColumn="0" w:lastRowLastColumn="0"/>
            </w:pPr>
            <w:r>
              <w:t>$20,000</w:t>
            </w:r>
          </w:p>
        </w:tc>
      </w:tr>
      <w:tr w:rsidR="00902233" w14:paraId="455D9497" w14:textId="77777777" w:rsidTr="0090223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AA3AE5" w14:textId="6E6D60B1" w:rsidR="00902233" w:rsidRDefault="00902233" w:rsidP="00902233">
            <w:r>
              <w:t>Total</w:t>
            </w:r>
          </w:p>
        </w:tc>
        <w:tc>
          <w:tcPr>
            <w:tcW w:w="4820" w:type="dxa"/>
          </w:tcPr>
          <w:p w14:paraId="72A23E27" w14:textId="77777777" w:rsidR="00902233" w:rsidRDefault="00902233" w:rsidP="00902233">
            <w:pPr>
              <w:cnfStyle w:val="010000000000" w:firstRow="0" w:lastRow="1" w:firstColumn="0" w:lastColumn="0" w:oddVBand="0" w:evenVBand="0" w:oddHBand="0" w:evenHBand="0" w:firstRowFirstColumn="0" w:firstRowLastColumn="0" w:lastRowFirstColumn="0" w:lastRowLastColumn="0"/>
            </w:pPr>
          </w:p>
        </w:tc>
        <w:tc>
          <w:tcPr>
            <w:tcW w:w="1558" w:type="dxa"/>
          </w:tcPr>
          <w:p w14:paraId="55374BA3" w14:textId="5B1FFACB" w:rsidR="00902233" w:rsidRDefault="00902233" w:rsidP="00902233">
            <w:pPr>
              <w:jc w:val="right"/>
              <w:cnfStyle w:val="010000000000" w:firstRow="0" w:lastRow="1" w:firstColumn="0" w:lastColumn="0" w:oddVBand="0" w:evenVBand="0" w:oddHBand="0" w:evenHBand="0" w:firstRowFirstColumn="0" w:firstRowLastColumn="0" w:lastRowFirstColumn="0" w:lastRowLastColumn="0"/>
            </w:pPr>
            <w:r>
              <w:t>$320,000</w:t>
            </w:r>
          </w:p>
        </w:tc>
      </w:tr>
    </w:tbl>
    <w:p w14:paraId="761F7503" w14:textId="77777777" w:rsidR="00902233" w:rsidRDefault="00902233" w:rsidP="00851D9D"/>
    <w:p w14:paraId="13E05D4B" w14:textId="2E9DF6D0" w:rsidR="003C5FAC" w:rsidRDefault="00207A4C" w:rsidP="00DF0706">
      <w:pPr>
        <w:pStyle w:val="Heading2"/>
        <w:spacing w:after="100" w:afterAutospacing="1"/>
      </w:pPr>
      <w:bookmarkStart w:id="13" w:name="_Toc155193124"/>
      <w:r>
        <w:lastRenderedPageBreak/>
        <w:t>3.</w:t>
      </w:r>
      <w:r w:rsidR="00281C0F">
        <w:t>8</w:t>
      </w:r>
      <w:r w:rsidR="003C5FAC" w:rsidRPr="002B1A5B">
        <w:t xml:space="preserve"> Corporate Services</w:t>
      </w:r>
      <w:bookmarkEnd w:id="13"/>
    </w:p>
    <w:p w14:paraId="0A7CA793" w14:textId="0A61F130" w:rsidR="00255CA5" w:rsidRDefault="0007223B" w:rsidP="00255CA5">
      <w:r>
        <w:t>The Corporate Services Division supports the organization through the</w:t>
      </w:r>
      <w:r w:rsidR="006A45E7">
        <w:t xml:space="preserve"> CAO,</w:t>
      </w:r>
      <w:r>
        <w:t xml:space="preserve"> Finance, </w:t>
      </w:r>
      <w:r w:rsidR="00D46DF6">
        <w:t>Human Resources, Project Management</w:t>
      </w:r>
      <w:r w:rsidR="00CA5BAA">
        <w:t xml:space="preserve"> &amp; Information Services</w:t>
      </w:r>
      <w:r w:rsidR="00D46DF6">
        <w:t xml:space="preserve">, </w:t>
      </w:r>
      <w:r>
        <w:t xml:space="preserve">Purchasing, </w:t>
      </w:r>
      <w:r w:rsidR="00CA5BAA">
        <w:t>Planning &amp; Analytics, Risk Management</w:t>
      </w:r>
      <w:r>
        <w:t xml:space="preserve"> and </w:t>
      </w:r>
      <w:r w:rsidR="00CA5BAA">
        <w:t>Administration</w:t>
      </w:r>
      <w:r w:rsidR="00D46DF6">
        <w:t>.</w:t>
      </w:r>
      <w:r>
        <w:t xml:space="preserve"> </w:t>
      </w:r>
      <w:r w:rsidR="00D46DF6">
        <w:t>The 202</w:t>
      </w:r>
      <w:r w:rsidR="00544FC9">
        <w:t>4</w:t>
      </w:r>
      <w:r w:rsidR="00D46DF6">
        <w:t xml:space="preserve"> b</w:t>
      </w:r>
      <w:r>
        <w:t>udget</w:t>
      </w:r>
      <w:r w:rsidR="00D46DF6">
        <w:t>ed</w:t>
      </w:r>
      <w:r>
        <w:t xml:space="preserve"> </w:t>
      </w:r>
      <w:r w:rsidR="00D46DF6">
        <w:t xml:space="preserve">expenses </w:t>
      </w:r>
      <w:r>
        <w:t xml:space="preserve">for Corporate Services </w:t>
      </w:r>
      <w:r w:rsidR="00544FC9">
        <w:t>total</w:t>
      </w:r>
      <w:r>
        <w:t xml:space="preserve"> $</w:t>
      </w:r>
      <w:r w:rsidR="00255CA5">
        <w:t>3,</w:t>
      </w:r>
      <w:r w:rsidR="00544FC9">
        <w:t>975,152</w:t>
      </w:r>
      <w:r>
        <w:t>, an increase of $</w:t>
      </w:r>
      <w:r w:rsidR="00544FC9">
        <w:t>473,118</w:t>
      </w:r>
      <w:r>
        <w:t xml:space="preserve"> (</w:t>
      </w:r>
      <w:r w:rsidR="00544FC9">
        <w:t>13.51</w:t>
      </w:r>
      <w:r>
        <w:t>%) over the 202</w:t>
      </w:r>
      <w:r w:rsidR="00544FC9">
        <w:t>3</w:t>
      </w:r>
      <w:r>
        <w:t xml:space="preserve"> approved </w:t>
      </w:r>
      <w:r w:rsidR="006A45E7">
        <w:t>b</w:t>
      </w:r>
      <w:r>
        <w:t>udget</w:t>
      </w:r>
      <w:r w:rsidR="006A45E7">
        <w:t>ed expenses</w:t>
      </w:r>
      <w:r>
        <w:t xml:space="preserve"> </w:t>
      </w:r>
      <w:r w:rsidR="006A45E7">
        <w:t>of $</w:t>
      </w:r>
      <w:r w:rsidR="00C40361">
        <w:t>3,</w:t>
      </w:r>
      <w:r w:rsidR="00544FC9">
        <w:t>502</w:t>
      </w:r>
      <w:r w:rsidR="00C40361">
        <w:t>,</w:t>
      </w:r>
      <w:r w:rsidR="00544FC9">
        <w:t>034</w:t>
      </w:r>
      <w:r>
        <w:t>.</w:t>
      </w:r>
      <w:r w:rsidR="00255CA5">
        <w:t xml:space="preserve"> </w:t>
      </w:r>
      <w:r w:rsidR="00544FC9">
        <w:t xml:space="preserve">The primary reason for the increase is technology-related costs. This includes, but is not limited to, </w:t>
      </w:r>
      <w:r w:rsidR="002B5314">
        <w:t xml:space="preserve">City of North Bay information technology services, </w:t>
      </w:r>
      <w:r w:rsidR="00544FC9">
        <w:t>Microsoft 365 subscriptions,</w:t>
      </w:r>
      <w:r w:rsidR="00D41A60">
        <w:t xml:space="preserve"> computer hardware replacements,</w:t>
      </w:r>
      <w:r w:rsidR="002B5314">
        <w:t xml:space="preserve"> and</w:t>
      </w:r>
      <w:r w:rsidR="00544FC9">
        <w:t xml:space="preserve"> accounting system upgrades</w:t>
      </w:r>
      <w:r w:rsidR="002B5314">
        <w:t>.</w:t>
      </w:r>
    </w:p>
    <w:p w14:paraId="749A210F" w14:textId="6D769FB9" w:rsidR="0007223B" w:rsidRDefault="0007223B" w:rsidP="0007223B">
      <w:r>
        <w:t xml:space="preserve">The Corporate Services </w:t>
      </w:r>
      <w:r w:rsidR="003368DB">
        <w:t>b</w:t>
      </w:r>
      <w:r>
        <w:t>udget includes various corporate-wide costs, for example</w:t>
      </w:r>
      <w:r w:rsidR="006A45E7">
        <w:t>, staffing for the above departments, rent</w:t>
      </w:r>
      <w:r w:rsidR="00CA5BAA">
        <w:t xml:space="preserve"> for office space</w:t>
      </w:r>
      <w:r w:rsidR="006A45E7">
        <w:t xml:space="preserve">, utilities, telephone, </w:t>
      </w:r>
      <w:r>
        <w:t>insurance premiums, audit</w:t>
      </w:r>
      <w:r w:rsidR="006A45E7">
        <w:t xml:space="preserve"> &amp; legal</w:t>
      </w:r>
      <w:r>
        <w:t xml:space="preserve"> fees, computer </w:t>
      </w:r>
      <w:r w:rsidR="006A45E7">
        <w:t>software</w:t>
      </w:r>
      <w:r>
        <w:t xml:space="preserve"> </w:t>
      </w:r>
      <w:r w:rsidR="006A45E7">
        <w:t>and more</w:t>
      </w:r>
      <w:r>
        <w:t xml:space="preserve">. </w:t>
      </w:r>
      <w:r w:rsidR="006A45E7">
        <w:t>These costs</w:t>
      </w:r>
      <w:r>
        <w:t xml:space="preserve"> are allocated across the portfolio of programs. </w:t>
      </w:r>
      <w:r w:rsidR="003C319B">
        <w:t xml:space="preserve">The general mix of expenses has not </w:t>
      </w:r>
      <w:proofErr w:type="gramStart"/>
      <w:r w:rsidR="003C319B">
        <w:t>changed significantly</w:t>
      </w:r>
      <w:proofErr w:type="gramEnd"/>
      <w:r w:rsidR="003C319B">
        <w:t xml:space="preserve"> year over year</w:t>
      </w:r>
      <w:r w:rsidR="00B3265B">
        <w:t xml:space="preserve"> with the exception of </w:t>
      </w:r>
      <w:r w:rsidR="002B5314">
        <w:t>technology-related</w:t>
      </w:r>
      <w:r w:rsidR="00B3265B">
        <w:t xml:space="preserve"> costs as noted above</w:t>
      </w:r>
      <w:r w:rsidR="003C319B">
        <w:t>.</w:t>
      </w:r>
    </w:p>
    <w:p w14:paraId="0FF7D5B7" w14:textId="4C477398" w:rsidR="00B00F2C" w:rsidRDefault="00F9120A" w:rsidP="00C27FD6">
      <w:pPr>
        <w:tabs>
          <w:tab w:val="left" w:pos="5298"/>
        </w:tabs>
        <w:ind w:left="-794" w:right="-794"/>
      </w:pPr>
      <w:r>
        <w:rPr>
          <w:noProof/>
        </w:rPr>
        <w:drawing>
          <wp:inline distT="0" distB="0" distL="0" distR="0" wp14:anchorId="0E766B3A" wp14:editId="5D826A12">
            <wp:extent cx="3438144" cy="2740025"/>
            <wp:effectExtent l="0" t="0" r="10160" b="3175"/>
            <wp:docPr id="229778493" name="Chart 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C64D2" w:rsidRPr="008C64D2">
        <w:rPr>
          <w:noProof/>
          <w:lang w:val="en-CA" w:eastAsia="en-CA"/>
        </w:rPr>
        <w:t xml:space="preserve"> </w:t>
      </w:r>
      <w:r>
        <w:rPr>
          <w:noProof/>
        </w:rPr>
        <w:drawing>
          <wp:inline distT="0" distB="0" distL="0" distR="0" wp14:anchorId="6C2A76AB" wp14:editId="6471F3AC">
            <wp:extent cx="3416199" cy="2727960"/>
            <wp:effectExtent l="0" t="0" r="13335" b="15240"/>
            <wp:docPr id="536381587" name="Chart 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FA54B5" w14:textId="22914E28" w:rsidR="00A62681" w:rsidRDefault="00A62681" w:rsidP="00B00F2C"/>
    <w:p w14:paraId="75BEECBB" w14:textId="77777777" w:rsidR="00A62681" w:rsidRDefault="00A62681" w:rsidP="00B00F2C"/>
    <w:p w14:paraId="46BD50C0" w14:textId="77777777" w:rsidR="00A62681" w:rsidRDefault="00A62681" w:rsidP="00B00F2C"/>
    <w:p w14:paraId="031E2851" w14:textId="77777777" w:rsidR="00A62681" w:rsidRDefault="00A62681" w:rsidP="00B00F2C"/>
    <w:p w14:paraId="6C0E104E" w14:textId="77777777" w:rsidR="00A62681" w:rsidRDefault="00A62681" w:rsidP="00B00F2C"/>
    <w:p w14:paraId="4A9C3768" w14:textId="77777777" w:rsidR="002563D0" w:rsidRDefault="002563D0">
      <w:r>
        <w:br w:type="page"/>
      </w:r>
    </w:p>
    <w:p w14:paraId="39D6CFFF" w14:textId="0961493E" w:rsidR="00724D86" w:rsidRDefault="00724D86" w:rsidP="00B00F2C">
      <w:r>
        <w:lastRenderedPageBreak/>
        <w:t>The 202</w:t>
      </w:r>
      <w:r w:rsidR="000943E6">
        <w:t>4</w:t>
      </w:r>
      <w:r>
        <w:t xml:space="preserve"> Corporate Services budget </w:t>
      </w:r>
      <w:r w:rsidRPr="005E7C9A">
        <w:t xml:space="preserve">represents </w:t>
      </w:r>
      <w:r w:rsidR="002540B0">
        <w:t>4.</w:t>
      </w:r>
      <w:r w:rsidR="0018297C">
        <w:t>19</w:t>
      </w:r>
      <w:r w:rsidRPr="005E7C9A">
        <w:t>%</w:t>
      </w:r>
      <w:r>
        <w:t xml:space="preserve"> of the total DNSSAB recommended budget compared to </w:t>
      </w:r>
      <w:r w:rsidR="002540B0">
        <w:t>3.88</w:t>
      </w:r>
      <w:r>
        <w:t>% in 202</w:t>
      </w:r>
      <w:r w:rsidR="002540B0">
        <w:t>3</w:t>
      </w:r>
      <w:r>
        <w:t>.</w:t>
      </w:r>
      <w:r w:rsidR="00A54695">
        <w:t xml:space="preserve"> </w:t>
      </w:r>
      <w:r w:rsidR="00793146">
        <w:t>Per the chart below, DN</w:t>
      </w:r>
      <w:r w:rsidR="00A54695">
        <w:t xml:space="preserve">SSAB continues to have </w:t>
      </w:r>
      <w:r w:rsidR="00BE79C7">
        <w:t xml:space="preserve">one of </w:t>
      </w:r>
      <w:r w:rsidR="00A54695">
        <w:t>the lowest corporate service</w:t>
      </w:r>
      <w:r w:rsidR="00210F14">
        <w:t>s</w:t>
      </w:r>
      <w:r w:rsidR="00A54695">
        <w:t xml:space="preserve"> costs relative to the total budget amongst all the DSSABs.</w:t>
      </w:r>
      <w:r w:rsidR="00A54695">
        <w:rPr>
          <w:rStyle w:val="FootnoteReference"/>
        </w:rPr>
        <w:footnoteReference w:id="6"/>
      </w:r>
      <w:r w:rsidR="005E7C9A">
        <w:t xml:space="preserve"> </w:t>
      </w:r>
    </w:p>
    <w:p w14:paraId="4049C814" w14:textId="5BA57A37" w:rsidR="00A54695" w:rsidRDefault="00EA56D6" w:rsidP="00B00F2C">
      <w:r>
        <w:rPr>
          <w:noProof/>
        </w:rPr>
        <w:drawing>
          <wp:inline distT="0" distB="0" distL="0" distR="0" wp14:anchorId="764E8910" wp14:editId="696B38BD">
            <wp:extent cx="5943600" cy="3689985"/>
            <wp:effectExtent l="0" t="0" r="0" b="5715"/>
            <wp:docPr id="1706796138"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32D60B" w14:textId="4A865A74" w:rsidR="00AE44BD" w:rsidRDefault="00B00F2C" w:rsidP="000943E6">
      <w:r>
        <w:t>S</w:t>
      </w:r>
      <w:r w:rsidR="00C1055F">
        <w:t xml:space="preserve">taff </w:t>
      </w:r>
      <w:r>
        <w:t>continue to search for</w:t>
      </w:r>
      <w:r w:rsidR="00C1055F">
        <w:t xml:space="preserve"> cost savings throughout the </w:t>
      </w:r>
      <w:r w:rsidR="00DC7D0A">
        <w:t>organization</w:t>
      </w:r>
      <w:r w:rsidR="00077AA6">
        <w:t xml:space="preserve">. </w:t>
      </w:r>
      <w:r w:rsidR="00C1055F">
        <w:t>Explanations for the significant variances year over year are as follows:</w:t>
      </w:r>
    </w:p>
    <w:p w14:paraId="2593688C" w14:textId="3E399FE9" w:rsidR="007F1B62" w:rsidRDefault="002D45DF" w:rsidP="007F1B62">
      <w:pPr>
        <w:pStyle w:val="ListParagraph"/>
        <w:numPr>
          <w:ilvl w:val="0"/>
          <w:numId w:val="24"/>
        </w:numPr>
      </w:pPr>
      <w:r>
        <w:t>Increased</w:t>
      </w:r>
      <w:r w:rsidR="007F1B62">
        <w:t xml:space="preserve"> information technology related </w:t>
      </w:r>
      <w:r w:rsidR="000943E6">
        <w:t>costs.</w:t>
      </w:r>
    </w:p>
    <w:p w14:paraId="16117948" w14:textId="77777777" w:rsidR="00CA5BAA" w:rsidRDefault="00CA5BAA" w:rsidP="00CA5BAA">
      <w:pPr>
        <w:pStyle w:val="ListParagraph"/>
      </w:pPr>
    </w:p>
    <w:p w14:paraId="7553302A" w14:textId="4ADF3716" w:rsidR="00CA5BAA" w:rsidRDefault="00CA5BAA" w:rsidP="007F1B62">
      <w:pPr>
        <w:pStyle w:val="ListParagraph"/>
        <w:numPr>
          <w:ilvl w:val="0"/>
          <w:numId w:val="24"/>
        </w:numPr>
      </w:pPr>
      <w:r>
        <w:t>Inflationary increases.</w:t>
      </w:r>
    </w:p>
    <w:p w14:paraId="77D75BCF" w14:textId="77777777" w:rsidR="000943E6" w:rsidRDefault="000943E6" w:rsidP="000943E6">
      <w:pPr>
        <w:pStyle w:val="ListParagraph"/>
      </w:pPr>
    </w:p>
    <w:p w14:paraId="4D5D87B3" w14:textId="1F48F5D9" w:rsidR="000943E6" w:rsidRDefault="000943E6" w:rsidP="000943E6">
      <w:pPr>
        <w:pStyle w:val="ListParagraph"/>
        <w:numPr>
          <w:ilvl w:val="0"/>
          <w:numId w:val="24"/>
        </w:numPr>
      </w:pPr>
      <w:r>
        <w:t>Increase in salaries and benefits due to the annual cost of living increase.</w:t>
      </w:r>
    </w:p>
    <w:p w14:paraId="7D8BD0D4" w14:textId="77777777" w:rsidR="000943E6" w:rsidRDefault="000943E6" w:rsidP="000943E6">
      <w:pPr>
        <w:pStyle w:val="ListParagraph"/>
      </w:pPr>
    </w:p>
    <w:p w14:paraId="76FBEC3E" w14:textId="448AC2F4" w:rsidR="00825313" w:rsidRDefault="00825313" w:rsidP="00825313">
      <w:pPr>
        <w:pStyle w:val="Heading2"/>
        <w:spacing w:after="100" w:afterAutospacing="1"/>
      </w:pPr>
      <w:bookmarkStart w:id="14" w:name="_Toc155193125"/>
      <w:r>
        <w:lastRenderedPageBreak/>
        <w:t>3.</w:t>
      </w:r>
      <w:r w:rsidR="00281C0F">
        <w:t>9</w:t>
      </w:r>
      <w:r w:rsidRPr="002B1A5B">
        <w:t xml:space="preserve"> </w:t>
      </w:r>
      <w:r>
        <w:t>Board</w:t>
      </w:r>
      <w:bookmarkEnd w:id="14"/>
    </w:p>
    <w:p w14:paraId="26D3750C" w14:textId="7DDBDB02" w:rsidR="003C5FAC" w:rsidRDefault="007664F4" w:rsidP="003C5FAC">
      <w:r w:rsidRPr="007664F4">
        <w:rPr>
          <w:noProof/>
        </w:rPr>
        <w:drawing>
          <wp:inline distT="0" distB="0" distL="0" distR="0" wp14:anchorId="7A15CC3A" wp14:editId="7D76AE1E">
            <wp:extent cx="5943600" cy="2842895"/>
            <wp:effectExtent l="19050" t="19050" r="19050" b="14605"/>
            <wp:docPr id="19725170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842895"/>
                    </a:xfrm>
                    <a:prstGeom prst="rect">
                      <a:avLst/>
                    </a:prstGeom>
                    <a:noFill/>
                    <a:ln>
                      <a:solidFill>
                        <a:schemeClr val="tx1"/>
                      </a:solidFill>
                    </a:ln>
                  </pic:spPr>
                </pic:pic>
              </a:graphicData>
            </a:graphic>
          </wp:inline>
        </w:drawing>
      </w:r>
    </w:p>
    <w:p w14:paraId="591EBD63" w14:textId="0DF76CBC" w:rsidR="00E639BD" w:rsidRPr="00977693" w:rsidRDefault="00E520B0">
      <w:r w:rsidRPr="00E520B0">
        <w:t>In 202</w:t>
      </w:r>
      <w:r w:rsidR="007664F4">
        <w:t>4</w:t>
      </w:r>
      <w:r w:rsidRPr="00E520B0">
        <w:t xml:space="preserve">, the </w:t>
      </w:r>
      <w:r>
        <w:t>Board</w:t>
      </w:r>
      <w:r w:rsidRPr="00E520B0">
        <w:t xml:space="preserve"> budget has </w:t>
      </w:r>
      <w:r w:rsidR="007664F4">
        <w:t>in</w:t>
      </w:r>
      <w:r w:rsidRPr="00E520B0">
        <w:t>creased year over year by $</w:t>
      </w:r>
      <w:r w:rsidR="007664F4">
        <w:t>7,752</w:t>
      </w:r>
      <w:r w:rsidRPr="00E520B0">
        <w:t xml:space="preserve"> or </w:t>
      </w:r>
      <w:r w:rsidR="007664F4">
        <w:t>4.77</w:t>
      </w:r>
      <w:r w:rsidRPr="00E520B0">
        <w:t>%</w:t>
      </w:r>
      <w:r w:rsidR="002D45DF">
        <w:t xml:space="preserve"> with </w:t>
      </w:r>
      <w:r w:rsidR="00977693">
        <w:t xml:space="preserve">no significant changes. </w:t>
      </w:r>
      <w:r>
        <w:t xml:space="preserve">Honorariums </w:t>
      </w:r>
      <w:r w:rsidR="00977693">
        <w:t>are adjusted</w:t>
      </w:r>
      <w:r>
        <w:t xml:space="preserve"> to reflect actual attendance levels</w:t>
      </w:r>
      <w:r w:rsidR="00977693">
        <w:t xml:space="preserve"> and annual rate increases</w:t>
      </w:r>
      <w:r>
        <w:t xml:space="preserve">. </w:t>
      </w:r>
      <w:r w:rsidR="00E639BD">
        <w:t>A</w:t>
      </w:r>
      <w:r w:rsidR="00C0329A">
        <w:t>nnual honoraria rate increases</w:t>
      </w:r>
      <w:r w:rsidR="00E639BD">
        <w:t xml:space="preserve"> continue to be tied to the consumer price index for a fair and transparent process.</w:t>
      </w:r>
      <w:r w:rsidR="004B2795">
        <w:t xml:space="preserve"> Honorariums are also based on attendance to reflect the respective contributions of Board members.</w:t>
      </w:r>
      <w:r w:rsidR="00E639BD">
        <w:br w:type="page"/>
      </w:r>
    </w:p>
    <w:p w14:paraId="1702DDF5" w14:textId="52121352" w:rsidR="00560ACA" w:rsidRPr="00560ACA" w:rsidRDefault="00825313" w:rsidP="00825313">
      <w:pPr>
        <w:pStyle w:val="Heading2"/>
        <w:spacing w:after="100" w:afterAutospacing="1"/>
      </w:pPr>
      <w:bookmarkStart w:id="15" w:name="_Toc155193126"/>
      <w:r>
        <w:lastRenderedPageBreak/>
        <w:t>3.1</w:t>
      </w:r>
      <w:r w:rsidR="00281C0F">
        <w:t>0</w:t>
      </w:r>
      <w:r w:rsidRPr="002B1A5B">
        <w:t xml:space="preserve"> </w:t>
      </w:r>
      <w:r>
        <w:t>Summary</w:t>
      </w:r>
      <w:bookmarkEnd w:id="15"/>
    </w:p>
    <w:p w14:paraId="5AF08226" w14:textId="6CB06F50" w:rsidR="004227B5" w:rsidRDefault="004227B5" w:rsidP="004227B5">
      <w:r>
        <w:t>The 202</w:t>
      </w:r>
      <w:r w:rsidR="00B7728D">
        <w:t>4</w:t>
      </w:r>
      <w:r w:rsidR="00560ACA">
        <w:t xml:space="preserve"> </w:t>
      </w:r>
      <w:r w:rsidR="003428B4">
        <w:t>budget presents a</w:t>
      </w:r>
      <w:r>
        <w:t xml:space="preserve"> municipal levy increase of </w:t>
      </w:r>
      <w:r w:rsidR="003428B4">
        <w:t>$</w:t>
      </w:r>
      <w:r w:rsidR="00823884">
        <w:t>674</w:t>
      </w:r>
      <w:r w:rsidR="00906769">
        <w:t>,772</w:t>
      </w:r>
      <w:r w:rsidR="003428B4">
        <w:t xml:space="preserve"> (</w:t>
      </w:r>
      <w:r w:rsidR="00823884">
        <w:t>2.99</w:t>
      </w:r>
      <w:r w:rsidRPr="007F10E8">
        <w:t>%</w:t>
      </w:r>
      <w:r w:rsidR="003428B4">
        <w:t>)</w:t>
      </w:r>
      <w:r>
        <w:t xml:space="preserve"> with an overall </w:t>
      </w:r>
      <w:r w:rsidR="006323A3">
        <w:t>increase</w:t>
      </w:r>
      <w:r>
        <w:t xml:space="preserve"> in the budget from $</w:t>
      </w:r>
      <w:r w:rsidR="00B7728D">
        <w:t>90,232,483</w:t>
      </w:r>
      <w:r w:rsidR="00825313">
        <w:t xml:space="preserve"> </w:t>
      </w:r>
      <w:r>
        <w:t>in 202</w:t>
      </w:r>
      <w:r w:rsidR="00B7728D">
        <w:t>3</w:t>
      </w:r>
      <w:r>
        <w:t xml:space="preserve"> to $</w:t>
      </w:r>
      <w:r w:rsidR="00B7728D">
        <w:t>9</w:t>
      </w:r>
      <w:r w:rsidR="00906769">
        <w:t xml:space="preserve">4,775,183 </w:t>
      </w:r>
      <w:r>
        <w:t>in 202</w:t>
      </w:r>
      <w:r w:rsidR="00B7728D">
        <w:t>4</w:t>
      </w:r>
      <w:r>
        <w:t xml:space="preserve">. </w:t>
      </w:r>
    </w:p>
    <w:p w14:paraId="41214301" w14:textId="7862B20F" w:rsidR="003C5FAC" w:rsidRDefault="00823884" w:rsidP="00373E9D">
      <w:pPr>
        <w:ind w:left="-720"/>
      </w:pPr>
      <w:r w:rsidRPr="00823884">
        <w:drawing>
          <wp:inline distT="0" distB="0" distL="0" distR="0" wp14:anchorId="7D55E946" wp14:editId="02F3E27A">
            <wp:extent cx="6765768" cy="3649649"/>
            <wp:effectExtent l="0" t="0" r="0" b="8255"/>
            <wp:docPr id="1450784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7589" cy="3661420"/>
                    </a:xfrm>
                    <a:prstGeom prst="rect">
                      <a:avLst/>
                    </a:prstGeom>
                    <a:noFill/>
                    <a:ln>
                      <a:noFill/>
                    </a:ln>
                  </pic:spPr>
                </pic:pic>
              </a:graphicData>
            </a:graphic>
          </wp:inline>
        </w:drawing>
      </w:r>
    </w:p>
    <w:p w14:paraId="680E204A" w14:textId="68AA418C" w:rsidR="005077EF" w:rsidRDefault="005077EF" w:rsidP="005077EF">
      <w:r>
        <w:t xml:space="preserve">The budget maintains services at the 2023 level while including any service changes that the Board approved in 2023. </w:t>
      </w:r>
    </w:p>
    <w:p w14:paraId="53798866" w14:textId="69A5F9E3" w:rsidR="00851F12" w:rsidRDefault="00456905">
      <w:r>
        <w:t xml:space="preserve">As described previously in the Budget, the primary reason for the increase in the municipal levy is the </w:t>
      </w:r>
      <w:r w:rsidR="005077EF">
        <w:t xml:space="preserve">significant increase to the Paramedic Services budget due to inflation, collective bargaining, </w:t>
      </w:r>
      <w:r w:rsidR="005077EF" w:rsidRPr="00F66746">
        <w:t>and increased call volumes</w:t>
      </w:r>
      <w:r w:rsidR="00C7309D">
        <w:t xml:space="preserve"> and </w:t>
      </w:r>
      <w:r w:rsidR="004E60E2">
        <w:t xml:space="preserve">the </w:t>
      </w:r>
      <w:r w:rsidR="00C7309D">
        <w:t>corresponding increases to deployment hours at the Mattawa, Temagami, and South Algonquin bases</w:t>
      </w:r>
      <w:r w:rsidR="005077EF">
        <w:t>.</w:t>
      </w:r>
    </w:p>
    <w:p w14:paraId="51A816F2" w14:textId="1FD0FC14" w:rsidR="00C7309D" w:rsidRDefault="00C7309D">
      <w:r w:rsidRPr="00C7309D">
        <w:t>The budget includes the use of $</w:t>
      </w:r>
      <w:r w:rsidR="00823884">
        <w:t>934</w:t>
      </w:r>
      <w:r w:rsidRPr="00C7309D">
        <w:t>,000 in reserves to offset the impact on the municipal levy from the</w:t>
      </w:r>
      <w:r>
        <w:t xml:space="preserve"> Paramedic Services</w:t>
      </w:r>
      <w:r w:rsidRPr="00C7309D">
        <w:t xml:space="preserve"> deployment changes.</w:t>
      </w:r>
    </w:p>
    <w:p w14:paraId="4E333723" w14:textId="784E4CB6" w:rsidR="00DB5899" w:rsidRPr="008C5F29" w:rsidRDefault="00DB5899">
      <w:pPr>
        <w:rPr>
          <w:rFonts w:asciiTheme="majorHAnsi" w:eastAsiaTheme="majorEastAsia" w:hAnsiTheme="majorHAnsi" w:cstheme="majorBidi"/>
          <w:b/>
          <w:bCs/>
          <w:color w:val="4F81BD" w:themeColor="accent1"/>
          <w:sz w:val="26"/>
          <w:szCs w:val="26"/>
        </w:rPr>
      </w:pPr>
      <w:r>
        <w:br w:type="page"/>
      </w:r>
    </w:p>
    <w:p w14:paraId="2251EB0B" w14:textId="3ECB47F5" w:rsidR="00205C49" w:rsidRDefault="00205C49" w:rsidP="00205C49">
      <w:pPr>
        <w:pStyle w:val="Heading1"/>
        <w:numPr>
          <w:ilvl w:val="0"/>
          <w:numId w:val="1"/>
        </w:numPr>
        <w:ind w:left="360"/>
      </w:pPr>
      <w:bookmarkStart w:id="16" w:name="_Toc155193127"/>
      <w:r>
        <w:lastRenderedPageBreak/>
        <w:t>202</w:t>
      </w:r>
      <w:r w:rsidR="00281C0F">
        <w:t>5</w:t>
      </w:r>
      <w:r>
        <w:t xml:space="preserve"> Outlook</w:t>
      </w:r>
      <w:bookmarkEnd w:id="16"/>
    </w:p>
    <w:p w14:paraId="44472212" w14:textId="77777777" w:rsidR="00576D28" w:rsidRDefault="00576D28" w:rsidP="00576D28">
      <w:pPr>
        <w:pStyle w:val="Heading2"/>
      </w:pPr>
      <w:bookmarkStart w:id="17" w:name="_Toc155193128"/>
      <w:r>
        <w:t>4.1 Ontario Works Program Delivery and Employment Assistance Funding</w:t>
      </w:r>
      <w:bookmarkEnd w:id="17"/>
    </w:p>
    <w:p w14:paraId="5D431800" w14:textId="17A01DA8" w:rsidR="001031E4" w:rsidRDefault="001031E4" w:rsidP="001031E4">
      <w:r>
        <w:t>MCCSS is moving forward with modernization changes to OW</w:t>
      </w:r>
      <w:r w:rsidR="00544A3C">
        <w:t>,</w:t>
      </w:r>
      <w:r>
        <w:t xml:space="preserve"> including </w:t>
      </w:r>
      <w:r w:rsidR="006F2610">
        <w:t>employment services transformation</w:t>
      </w:r>
      <w:r>
        <w:t xml:space="preserve">. In September </w:t>
      </w:r>
      <w:r w:rsidR="00EF129A">
        <w:t xml:space="preserve">of </w:t>
      </w:r>
      <w:r>
        <w:t>2019</w:t>
      </w:r>
      <w:r w:rsidR="00BC3A5A">
        <w:t>,</w:t>
      </w:r>
      <w:r>
        <w:t xml:space="preserve"> MCCSS communicated to OW offices that they should expect reductions to their 2021 funding allocations </w:t>
      </w:r>
      <w:proofErr w:type="gramStart"/>
      <w:r>
        <w:t>as a result of</w:t>
      </w:r>
      <w:proofErr w:type="gramEnd"/>
      <w:r>
        <w:t xml:space="preserve"> modernization changes. This reduction was rumored to be 22%</w:t>
      </w:r>
      <w:r w:rsidR="00AC3480">
        <w:t>, but this has not been confirmed</w:t>
      </w:r>
      <w:r>
        <w:t xml:space="preserve">. Modernization initiatives </w:t>
      </w:r>
      <w:r w:rsidR="006F2610">
        <w:t>have been slowed</w:t>
      </w:r>
      <w:r>
        <w:t xml:space="preserve"> due to the pandemic</w:t>
      </w:r>
      <w:r w:rsidR="003428B4">
        <w:t>, delaying</w:t>
      </w:r>
      <w:r w:rsidR="00EF129A">
        <w:t xml:space="preserve"> the </w:t>
      </w:r>
      <w:r w:rsidR="006F2610">
        <w:t xml:space="preserve">expected </w:t>
      </w:r>
      <w:r w:rsidR="00EF129A">
        <w:t>funding reduction</w:t>
      </w:r>
      <w:r>
        <w:t xml:space="preserve"> until </w:t>
      </w:r>
      <w:r w:rsidR="00BD2AB7">
        <w:t xml:space="preserve">at least </w:t>
      </w:r>
      <w:r>
        <w:t>202</w:t>
      </w:r>
      <w:r w:rsidR="00711003">
        <w:t>5</w:t>
      </w:r>
      <w:r>
        <w:t>.</w:t>
      </w:r>
      <w:r w:rsidRPr="001031E4">
        <w:t xml:space="preserve"> </w:t>
      </w:r>
      <w:r w:rsidRPr="00576D28">
        <w:t xml:space="preserve">It is too early to provide an estimate on this impact as there </w:t>
      </w:r>
      <w:r>
        <w:t>will</w:t>
      </w:r>
      <w:r w:rsidRPr="00576D28">
        <w:t xml:space="preserve"> be programming changes attached to this funding</w:t>
      </w:r>
      <w:r>
        <w:t xml:space="preserve"> reduction</w:t>
      </w:r>
      <w:r w:rsidRPr="00576D28">
        <w:t xml:space="preserve">. </w:t>
      </w:r>
    </w:p>
    <w:p w14:paraId="3BD91048" w14:textId="77777777" w:rsidR="00576D28" w:rsidRDefault="00576D28" w:rsidP="00576D28">
      <w:pPr>
        <w:pStyle w:val="Heading2"/>
      </w:pPr>
      <w:bookmarkStart w:id="18" w:name="_Toc155193129"/>
      <w:r>
        <w:t>4.2 Children’s Services</w:t>
      </w:r>
      <w:bookmarkEnd w:id="18"/>
    </w:p>
    <w:p w14:paraId="4E6EBAE6" w14:textId="78377B7D" w:rsidR="000F7E94" w:rsidRDefault="000F7E94" w:rsidP="00366467">
      <w:r>
        <w:t>A</w:t>
      </w:r>
      <w:r w:rsidRPr="000F7E94">
        <w:t xml:space="preserve">llowable administrative funding that CMSMs/DSSABs can spend on childcare </w:t>
      </w:r>
      <w:r w:rsidR="00406F80">
        <w:t>has been</w:t>
      </w:r>
      <w:r w:rsidRPr="000F7E94">
        <w:t xml:space="preserve"> reduced from 10% to 5%</w:t>
      </w:r>
      <w:r>
        <w:t xml:space="preserve"> resulting in an estimated decrease of 33% </w:t>
      </w:r>
      <w:r w:rsidRPr="000F7E94">
        <w:t>in administrative funding for Children’s Services</w:t>
      </w:r>
      <w:r>
        <w:t>. This decrease comes at a time when the EDU is also demanding additional reporting and sector oversight with the implementation of CWELCC.</w:t>
      </w:r>
      <w:r w:rsidR="00406F80">
        <w:t xml:space="preserve"> </w:t>
      </w:r>
      <w:r w:rsidR="00406F80" w:rsidRPr="00406F80">
        <w:t xml:space="preserve">Such a significant reduction in administrative funding will limit DNSSAB’s ability to meet these requirements. Advocacy efforts will be made to communicate this issue to the </w:t>
      </w:r>
      <w:proofErr w:type="gramStart"/>
      <w:r w:rsidR="00406F80" w:rsidRPr="00406F80">
        <w:t>Province</w:t>
      </w:r>
      <w:proofErr w:type="gramEnd"/>
      <w:r w:rsidR="00406F80">
        <w:t>.</w:t>
      </w:r>
    </w:p>
    <w:p w14:paraId="2C67ED67" w14:textId="4E26E8EE" w:rsidR="00406F80" w:rsidRDefault="00406F80" w:rsidP="00366467">
      <w:r>
        <w:t xml:space="preserve">As noted above in the Children’s Services section of the budget, the optional municipal contribution of $423,431 was removed from the budget in 2023 due to temporary reduced childcare capacity in the </w:t>
      </w:r>
      <w:proofErr w:type="gramStart"/>
      <w:r>
        <w:t>District</w:t>
      </w:r>
      <w:proofErr w:type="gramEnd"/>
      <w:r>
        <w:t>. This municipal levy contribution may need to come back on to the budget in future years to address the childcare waitlist.</w:t>
      </w:r>
    </w:p>
    <w:p w14:paraId="5169E0BF" w14:textId="77777777" w:rsidR="00576D28" w:rsidRDefault="00576D28" w:rsidP="00576D28">
      <w:pPr>
        <w:pStyle w:val="Heading2"/>
      </w:pPr>
      <w:bookmarkStart w:id="19" w:name="_Toc155193130"/>
      <w:r>
        <w:t>4.3 Housing Services</w:t>
      </w:r>
      <w:bookmarkEnd w:id="19"/>
    </w:p>
    <w:p w14:paraId="07F5D9EB" w14:textId="6712850D" w:rsidR="003764A3" w:rsidRDefault="003764A3" w:rsidP="00576D28">
      <w:r>
        <w:t xml:space="preserve">As mentioned previously in the Budget, </w:t>
      </w:r>
      <w:r w:rsidR="008942C7">
        <w:t>inflation will continue to result in annual budget increases for Northern Pines and The Low Barrier Shelter and additional rent supplements will need to be provided to meet the DNSSAB’s legislated service level standards. These increases will need to be funded by the municipal levy.</w:t>
      </w:r>
    </w:p>
    <w:p w14:paraId="0D154F33" w14:textId="5C15D339" w:rsidR="001F51FF" w:rsidRPr="008942C7" w:rsidRDefault="00A37EBE">
      <w:r w:rsidRPr="00A37EBE">
        <w:t xml:space="preserve">Housing Services </w:t>
      </w:r>
      <w:r w:rsidR="00F52C71">
        <w:t>will see</w:t>
      </w:r>
      <w:r w:rsidRPr="00A37EBE">
        <w:t xml:space="preserve"> reductions in funding associated with social housing legacy programs in 202</w:t>
      </w:r>
      <w:r w:rsidR="008942C7">
        <w:t>5</w:t>
      </w:r>
      <w:r w:rsidRPr="00A37EBE">
        <w:t xml:space="preserve">. </w:t>
      </w:r>
      <w:r w:rsidR="00A84609">
        <w:t>P</w:t>
      </w:r>
      <w:r w:rsidRPr="00A37EBE">
        <w:t xml:space="preserve">rovincial and federal funding for social housing will see a year over year reduction of </w:t>
      </w:r>
      <w:r w:rsidR="00A84609" w:rsidRPr="0050738E">
        <w:t>$</w:t>
      </w:r>
      <w:r w:rsidR="008942C7">
        <w:t>816,681</w:t>
      </w:r>
      <w:r w:rsidR="00A84609">
        <w:t xml:space="preserve"> or </w:t>
      </w:r>
      <w:r w:rsidR="008942C7">
        <w:t>42.5</w:t>
      </w:r>
      <w:r w:rsidRPr="0050738E">
        <w:t>%</w:t>
      </w:r>
      <w:r w:rsidRPr="00A37EBE">
        <w:t xml:space="preserve">. This is a direct result of </w:t>
      </w:r>
      <w:r w:rsidR="008942C7">
        <w:t>ten</w:t>
      </w:r>
      <w:r w:rsidRPr="00A37EBE">
        <w:t xml:space="preserve"> social housing projects reaching the end of their operating agreements throughout 202</w:t>
      </w:r>
      <w:r w:rsidR="008942C7">
        <w:t>4</w:t>
      </w:r>
      <w:r w:rsidR="003E5C3B">
        <w:t xml:space="preserve"> and 202</w:t>
      </w:r>
      <w:r w:rsidR="008942C7">
        <w:t>5</w:t>
      </w:r>
      <w:r w:rsidRPr="00A37EBE">
        <w:t xml:space="preserve">.  </w:t>
      </w:r>
      <w:r w:rsidR="008942C7">
        <w:t>Some of these reductions in funding will be offset by reduced subsidy requirements because of expired mortgages.</w:t>
      </w:r>
    </w:p>
    <w:p w14:paraId="59216648" w14:textId="1BC47DAB" w:rsidR="00576D28" w:rsidRPr="00576D28" w:rsidRDefault="008942C7" w:rsidP="00576D28">
      <w:pPr>
        <w:pStyle w:val="Heading2"/>
      </w:pPr>
      <w:bookmarkStart w:id="20" w:name="_Toc155193131"/>
      <w:r>
        <w:t>4</w:t>
      </w:r>
      <w:r w:rsidR="00576D28">
        <w:t xml:space="preserve">.4 </w:t>
      </w:r>
      <w:r w:rsidR="00543531">
        <w:t>Paramedic</w:t>
      </w:r>
      <w:r w:rsidR="00576D28">
        <w:t xml:space="preserve"> Services</w:t>
      </w:r>
      <w:bookmarkEnd w:id="20"/>
    </w:p>
    <w:p w14:paraId="715DC4A6" w14:textId="449E8F8C" w:rsidR="005E658A" w:rsidRDefault="003E4128">
      <w:r>
        <w:t xml:space="preserve">The </w:t>
      </w:r>
      <w:r w:rsidR="00543531">
        <w:t>MOH</w:t>
      </w:r>
      <w:r>
        <w:t xml:space="preserve"> continues to announce growth rates to</w:t>
      </w:r>
      <w:r w:rsidR="00543531">
        <w:t xml:space="preserve"> </w:t>
      </w:r>
      <w:r>
        <w:t>funding on a one</w:t>
      </w:r>
      <w:r w:rsidR="00EF129A">
        <w:t>-</w:t>
      </w:r>
      <w:r w:rsidR="00543531">
        <w:t>year basis</w:t>
      </w:r>
      <w:r>
        <w:t xml:space="preserve">. </w:t>
      </w:r>
      <w:proofErr w:type="gramStart"/>
      <w:r w:rsidR="00E215F0">
        <w:t>At this time</w:t>
      </w:r>
      <w:proofErr w:type="gramEnd"/>
      <w:r w:rsidR="00E215F0">
        <w:t xml:space="preserve">, </w:t>
      </w:r>
      <w:r w:rsidR="00180A59">
        <w:t xml:space="preserve">it is </w:t>
      </w:r>
      <w:r w:rsidR="00EF129A">
        <w:t>un</w:t>
      </w:r>
      <w:r w:rsidR="00180A59">
        <w:t>known</w:t>
      </w:r>
      <w:r w:rsidR="00E215F0">
        <w:t xml:space="preserve"> what to expect for </w:t>
      </w:r>
      <w:r w:rsidR="00E20A93">
        <w:t xml:space="preserve">Paramedic Services </w:t>
      </w:r>
      <w:r w:rsidR="00E215F0">
        <w:t xml:space="preserve">funding </w:t>
      </w:r>
      <w:r w:rsidR="00E20A93">
        <w:t>in</w:t>
      </w:r>
      <w:r w:rsidR="00E215F0">
        <w:t xml:space="preserve"> 202</w:t>
      </w:r>
      <w:r w:rsidR="008942C7">
        <w:t>5</w:t>
      </w:r>
      <w:r w:rsidR="00E20A93">
        <w:t>.</w:t>
      </w:r>
    </w:p>
    <w:p w14:paraId="6EB14FF6" w14:textId="7C5EAE74" w:rsidR="00E83107" w:rsidRDefault="004E60E2">
      <w:r>
        <w:t>The increased deployment hours at the</w:t>
      </w:r>
      <w:r w:rsidRPr="004E60E2">
        <w:t xml:space="preserve"> Mattawa, Temagami, and South Algonquin bases</w:t>
      </w:r>
      <w:r>
        <w:t xml:space="preserve"> will lead to additional pressure on the 2025 budget, as only seven (7) months of the increased costs are included in the 2024 budget. The 2025 budget will include the full annual costs.</w:t>
      </w:r>
    </w:p>
    <w:sectPr w:rsidR="00E83107" w:rsidSect="00D038ED">
      <w:type w:val="continuous"/>
      <w:pgSz w:w="12240" w:h="15840"/>
      <w:pgMar w:top="1440" w:right="1440" w:bottom="1440" w:left="1440" w:header="144" w:footer="792"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8430" w14:textId="77777777" w:rsidR="00FB4BFA" w:rsidRDefault="00FB4BFA" w:rsidP="00CD620C">
      <w:pPr>
        <w:spacing w:after="0" w:line="240" w:lineRule="auto"/>
      </w:pPr>
      <w:r>
        <w:separator/>
      </w:r>
    </w:p>
  </w:endnote>
  <w:endnote w:type="continuationSeparator" w:id="0">
    <w:p w14:paraId="0E841666" w14:textId="77777777" w:rsidR="00FB4BFA" w:rsidRDefault="00FB4BFA" w:rsidP="00CD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95DD" w14:textId="174F810E" w:rsidR="00FB4BFA" w:rsidRDefault="005A58F6" w:rsidP="00C27935">
    <w:pPr>
      <w:pStyle w:val="Footer"/>
      <w:spacing w:before="100" w:beforeAutospacing="1"/>
      <w:rPr>
        <w:color w:val="000000" w:themeColor="text1"/>
        <w:sz w:val="24"/>
        <w:szCs w:val="24"/>
      </w:rPr>
    </w:pPr>
    <w:r w:rsidRPr="005A58F6">
      <w:rPr>
        <w:color w:val="000000" w:themeColor="text1"/>
        <w:sz w:val="24"/>
        <w:szCs w:val="24"/>
      </w:rPr>
      <w:t>CORP-202</w:t>
    </w:r>
    <w:r w:rsidR="00166F49">
      <w:rPr>
        <w:color w:val="000000" w:themeColor="text1"/>
        <w:sz w:val="24"/>
        <w:szCs w:val="24"/>
      </w:rPr>
      <w:t>4</w:t>
    </w:r>
    <w:r w:rsidRPr="005A58F6">
      <w:rPr>
        <w:color w:val="000000" w:themeColor="text1"/>
        <w:sz w:val="24"/>
        <w:szCs w:val="24"/>
      </w:rPr>
      <w:t>-0</w:t>
    </w:r>
    <w:r w:rsidR="00166F49">
      <w:rPr>
        <w:color w:val="000000" w:themeColor="text1"/>
        <w:sz w:val="24"/>
        <w:szCs w:val="24"/>
      </w:rPr>
      <w:t>0</w:t>
    </w:r>
    <w:r w:rsidR="00EF143A">
      <w:rPr>
        <w:color w:val="000000" w:themeColor="text1"/>
        <w:sz w:val="24"/>
        <w:szCs w:val="24"/>
      </w:rPr>
      <w:t>1</w:t>
    </w:r>
    <w:r w:rsidRPr="005A58F6">
      <w:rPr>
        <w:color w:val="000000" w:themeColor="text1"/>
        <w:sz w:val="24"/>
        <w:szCs w:val="24"/>
      </w:rPr>
      <w:t xml:space="preserve"> </w:t>
    </w:r>
    <w:sdt>
      <w:sdtPr>
        <w:rPr>
          <w:color w:val="000000" w:themeColor="text1"/>
          <w:sz w:val="24"/>
          <w:szCs w:val="24"/>
        </w:rPr>
        <w:alias w:val="Author"/>
        <w:id w:val="566777290"/>
        <w:dataBinding w:prefixMappings="xmlns:ns0='http://schemas.openxmlformats.org/package/2006/metadata/core-properties' xmlns:ns1='http://purl.org/dc/elements/1.1/'" w:xpath="/ns0:coreProperties[1]/ns1:creator[1]" w:storeItemID="{6C3C8BC8-F283-45AE-878A-BAB7291924A1}"/>
        <w:text/>
      </w:sdtPr>
      <w:sdtEndPr/>
      <w:sdtContent>
        <w:r w:rsidR="00FB4BFA">
          <w:rPr>
            <w:color w:val="000000" w:themeColor="text1"/>
            <w:sz w:val="24"/>
            <w:szCs w:val="24"/>
          </w:rPr>
          <w:t>202</w:t>
        </w:r>
        <w:r>
          <w:rPr>
            <w:color w:val="000000" w:themeColor="text1"/>
            <w:sz w:val="24"/>
            <w:szCs w:val="24"/>
          </w:rPr>
          <w:t>4</w:t>
        </w:r>
        <w:r w:rsidR="00FB4BFA">
          <w:rPr>
            <w:color w:val="000000" w:themeColor="text1"/>
            <w:sz w:val="24"/>
            <w:szCs w:val="24"/>
          </w:rPr>
          <w:t xml:space="preserve"> </w:t>
        </w:r>
        <w:r w:rsidR="00166F49">
          <w:rPr>
            <w:color w:val="000000" w:themeColor="text1"/>
            <w:sz w:val="24"/>
            <w:szCs w:val="24"/>
          </w:rPr>
          <w:t xml:space="preserve">DNSSAB </w:t>
        </w:r>
        <w:r w:rsidR="00FB4BFA">
          <w:rPr>
            <w:color w:val="000000" w:themeColor="text1"/>
            <w:sz w:val="24"/>
            <w:szCs w:val="24"/>
          </w:rPr>
          <w:t>Budget</w:t>
        </w:r>
      </w:sdtContent>
    </w:sdt>
  </w:p>
  <w:p w14:paraId="01541A54" w14:textId="3B61E7B7" w:rsidR="00FB4BFA" w:rsidRDefault="00FB4BFA" w:rsidP="00E60172">
    <w:pPr>
      <w:pStyle w:val="Footer"/>
      <w:tabs>
        <w:tab w:val="clear" w:pos="4680"/>
        <w:tab w:val="clear" w:pos="9360"/>
        <w:tab w:val="left" w:pos="7043"/>
      </w:tabs>
    </w:pPr>
    <w:r>
      <w:rPr>
        <w:noProof/>
        <w:lang w:val="en-CA" w:eastAsia="en-CA"/>
      </w:rPr>
      <mc:AlternateContent>
        <mc:Choice Requires="wps">
          <w:drawing>
            <wp:anchor distT="0" distB="0" distL="114300" distR="114300" simplePos="0" relativeHeight="251659264" behindDoc="0" locked="0" layoutInCell="1" allowOverlap="1" wp14:anchorId="3405F491" wp14:editId="638420C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2C253B1" w14:textId="3B83107D" w:rsidR="00FB4BFA" w:rsidRPr="00823780" w:rsidRDefault="00FB4BFA" w:rsidP="009A555B">
                          <w:pPr>
                            <w:pStyle w:val="Footer"/>
                            <w:spacing w:line="276" w:lineRule="auto"/>
                            <w:jc w:val="right"/>
                            <w:rPr>
                              <w:rFonts w:asciiTheme="majorHAnsi" w:hAnsiTheme="majorHAnsi"/>
                              <w:color w:val="000000" w:themeColor="text1"/>
                              <w:sz w:val="24"/>
                              <w:szCs w:val="24"/>
                            </w:rPr>
                          </w:pPr>
                          <w:r w:rsidRPr="00823780">
                            <w:rPr>
                              <w:rFonts w:asciiTheme="majorHAnsi" w:hAnsiTheme="majorHAnsi"/>
                              <w:color w:val="000000" w:themeColor="text1"/>
                              <w:sz w:val="24"/>
                              <w:szCs w:val="24"/>
                            </w:rPr>
                            <w:fldChar w:fldCharType="begin"/>
                          </w:r>
                          <w:r w:rsidRPr="00823780">
                            <w:rPr>
                              <w:rFonts w:asciiTheme="majorHAnsi" w:hAnsiTheme="majorHAnsi"/>
                              <w:color w:val="000000" w:themeColor="text1"/>
                              <w:sz w:val="24"/>
                              <w:szCs w:val="24"/>
                            </w:rPr>
                            <w:instrText xml:space="preserve"> PAGE  \* Arabic  \* MERGEFORMAT </w:instrText>
                          </w:r>
                          <w:r w:rsidRPr="00823780">
                            <w:rPr>
                              <w:rFonts w:asciiTheme="majorHAnsi" w:hAnsiTheme="majorHAnsi"/>
                              <w:color w:val="000000" w:themeColor="text1"/>
                              <w:sz w:val="24"/>
                              <w:szCs w:val="24"/>
                            </w:rPr>
                            <w:fldChar w:fldCharType="separate"/>
                          </w:r>
                          <w:r w:rsidR="00C90278">
                            <w:rPr>
                              <w:rFonts w:asciiTheme="majorHAnsi" w:hAnsiTheme="majorHAnsi"/>
                              <w:noProof/>
                              <w:color w:val="000000" w:themeColor="text1"/>
                              <w:sz w:val="24"/>
                              <w:szCs w:val="24"/>
                            </w:rPr>
                            <w:t>9</w:t>
                          </w:r>
                          <w:r w:rsidRPr="00823780">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05F491"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02C253B1" w14:textId="3B83107D" w:rsidR="00FB4BFA" w:rsidRPr="00823780" w:rsidRDefault="00FB4BFA" w:rsidP="009A555B">
                    <w:pPr>
                      <w:pStyle w:val="Footer"/>
                      <w:spacing w:line="276" w:lineRule="auto"/>
                      <w:jc w:val="right"/>
                      <w:rPr>
                        <w:rFonts w:asciiTheme="majorHAnsi" w:hAnsiTheme="majorHAnsi"/>
                        <w:color w:val="000000" w:themeColor="text1"/>
                        <w:sz w:val="24"/>
                        <w:szCs w:val="24"/>
                      </w:rPr>
                    </w:pPr>
                    <w:r w:rsidRPr="00823780">
                      <w:rPr>
                        <w:rFonts w:asciiTheme="majorHAnsi" w:hAnsiTheme="majorHAnsi"/>
                        <w:color w:val="000000" w:themeColor="text1"/>
                        <w:sz w:val="24"/>
                        <w:szCs w:val="24"/>
                      </w:rPr>
                      <w:fldChar w:fldCharType="begin"/>
                    </w:r>
                    <w:r w:rsidRPr="00823780">
                      <w:rPr>
                        <w:rFonts w:asciiTheme="majorHAnsi" w:hAnsiTheme="majorHAnsi"/>
                        <w:color w:val="000000" w:themeColor="text1"/>
                        <w:sz w:val="24"/>
                        <w:szCs w:val="24"/>
                      </w:rPr>
                      <w:instrText xml:space="preserve"> PAGE  \* Arabic  \* MERGEFORMAT </w:instrText>
                    </w:r>
                    <w:r w:rsidRPr="00823780">
                      <w:rPr>
                        <w:rFonts w:asciiTheme="majorHAnsi" w:hAnsiTheme="majorHAnsi"/>
                        <w:color w:val="000000" w:themeColor="text1"/>
                        <w:sz w:val="24"/>
                        <w:szCs w:val="24"/>
                      </w:rPr>
                      <w:fldChar w:fldCharType="separate"/>
                    </w:r>
                    <w:r w:rsidR="00C90278">
                      <w:rPr>
                        <w:rFonts w:asciiTheme="majorHAnsi" w:hAnsiTheme="majorHAnsi"/>
                        <w:noProof/>
                        <w:color w:val="000000" w:themeColor="text1"/>
                        <w:sz w:val="24"/>
                        <w:szCs w:val="24"/>
                      </w:rPr>
                      <w:t>9</w:t>
                    </w:r>
                    <w:r w:rsidRPr="00823780">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lang w:val="en-CA" w:eastAsia="en-CA"/>
      </w:rPr>
      <mc:AlternateContent>
        <mc:Choice Requires="wps">
          <w:drawing>
            <wp:anchor distT="91440" distB="91440" distL="114300" distR="114300" simplePos="0" relativeHeight="251663360" behindDoc="1" locked="0" layoutInCell="1" allowOverlap="1" wp14:anchorId="5EE9BA9F" wp14:editId="47A9412D">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7A207B5" id="Rectangle 58"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974C" w14:textId="77777777" w:rsidR="00FB4BFA" w:rsidRDefault="00FB4BFA" w:rsidP="00CD620C">
      <w:pPr>
        <w:spacing w:after="0" w:line="240" w:lineRule="auto"/>
      </w:pPr>
      <w:r>
        <w:separator/>
      </w:r>
    </w:p>
  </w:footnote>
  <w:footnote w:type="continuationSeparator" w:id="0">
    <w:p w14:paraId="248E22CB" w14:textId="77777777" w:rsidR="00FB4BFA" w:rsidRDefault="00FB4BFA" w:rsidP="00CD620C">
      <w:pPr>
        <w:spacing w:after="0" w:line="240" w:lineRule="auto"/>
      </w:pPr>
      <w:r>
        <w:continuationSeparator/>
      </w:r>
    </w:p>
  </w:footnote>
  <w:footnote w:id="1">
    <w:p w14:paraId="6DFC601C" w14:textId="77777777" w:rsidR="00A212E6" w:rsidRDefault="00FB4BFA" w:rsidP="00A212E6">
      <w:pPr>
        <w:pStyle w:val="FootnoteText"/>
      </w:pPr>
      <w:r w:rsidRPr="00764FC8">
        <w:rPr>
          <w:rStyle w:val="FootnoteReference"/>
        </w:rPr>
        <w:footnoteRef/>
      </w:r>
      <w:r w:rsidRPr="00764FC8">
        <w:t xml:space="preserve"> </w:t>
      </w:r>
      <w:r w:rsidR="00A212E6">
        <w:t>Bank of Canada Monetary Policy Report October 2023</w:t>
      </w:r>
    </w:p>
    <w:p w14:paraId="40712A5F" w14:textId="06000D35" w:rsidR="00FB4BFA" w:rsidRPr="00476B63" w:rsidRDefault="00A212E6" w:rsidP="00A212E6">
      <w:pPr>
        <w:pStyle w:val="FootnoteText"/>
        <w:rPr>
          <w:lang w:val="en-CA"/>
        </w:rPr>
      </w:pPr>
      <w:r w:rsidRPr="0036427F">
        <w:t>https://www.bankofcanada.ca/2023/10/mpr-2023-10-25/</w:t>
      </w:r>
    </w:p>
  </w:footnote>
  <w:footnote w:id="2">
    <w:p w14:paraId="0ABD219B" w14:textId="28DD1512" w:rsidR="00FB4BFA" w:rsidRPr="00F2300C" w:rsidRDefault="00FB4BFA">
      <w:pPr>
        <w:pStyle w:val="FootnoteText"/>
        <w:rPr>
          <w:lang w:val="en-CA"/>
        </w:rPr>
      </w:pPr>
      <w:r>
        <w:rPr>
          <w:rStyle w:val="FootnoteReference"/>
        </w:rPr>
        <w:footnoteRef/>
      </w:r>
      <w:r>
        <w:t xml:space="preserve"> </w:t>
      </w:r>
      <w:r>
        <w:rPr>
          <w:lang w:val="en-CA"/>
        </w:rPr>
        <w:t xml:space="preserve">These estimates are based on data available as of October 31, </w:t>
      </w:r>
      <w:proofErr w:type="gramStart"/>
      <w:r>
        <w:rPr>
          <w:lang w:val="en-CA"/>
        </w:rPr>
        <w:t>202</w:t>
      </w:r>
      <w:r w:rsidR="00BE42E1">
        <w:rPr>
          <w:lang w:val="en-CA"/>
        </w:rPr>
        <w:t>3</w:t>
      </w:r>
      <w:proofErr w:type="gramEnd"/>
      <w:r>
        <w:rPr>
          <w:lang w:val="en-CA"/>
        </w:rPr>
        <w:t xml:space="preserve"> and are subject to change based on various factors such as legislation, emerging trends, labour market changes, etc.</w:t>
      </w:r>
    </w:p>
  </w:footnote>
  <w:footnote w:id="3">
    <w:p w14:paraId="7723BC63" w14:textId="77777777" w:rsidR="00D83598" w:rsidRDefault="00D83598" w:rsidP="00D83598">
      <w:pPr>
        <w:pStyle w:val="FootnoteText"/>
        <w:rPr>
          <w:lang w:val="en-CA"/>
        </w:rPr>
      </w:pPr>
      <w:r>
        <w:rPr>
          <w:rStyle w:val="FootnoteReference"/>
        </w:rPr>
        <w:footnoteRef/>
      </w:r>
      <w:r>
        <w:t xml:space="preserve"> </w:t>
      </w:r>
      <w:r>
        <w:rPr>
          <w:lang w:val="en-CA"/>
        </w:rPr>
        <w:t xml:space="preserve">OAPC Recommendations from the Provincial Municipal Land Ambulance Dispatch Working Group: Submission to the Minister of Health and Long-Term Care, May 28, 2015, p. 9, </w:t>
      </w:r>
    </w:p>
    <w:p w14:paraId="30FF0FD0" w14:textId="77777777" w:rsidR="00D83598" w:rsidRPr="006F4F5B" w:rsidRDefault="00D83598" w:rsidP="00D83598">
      <w:pPr>
        <w:pStyle w:val="FootnoteText"/>
        <w:rPr>
          <w:lang w:val="en-CA"/>
        </w:rPr>
      </w:pPr>
      <w:r w:rsidRPr="006F4F5B">
        <w:rPr>
          <w:lang w:val="en-CA"/>
        </w:rPr>
        <w:t>https://www.oapc.ca/wp-content/uploads/2016/11/Land-Ambulance-Working-Group.pdf</w:t>
      </w:r>
    </w:p>
  </w:footnote>
  <w:footnote w:id="4">
    <w:p w14:paraId="5257012D" w14:textId="77777777" w:rsidR="00FB4BFA" w:rsidRPr="00A94CA0" w:rsidRDefault="00FB4BFA" w:rsidP="00677DD3">
      <w:pPr>
        <w:pStyle w:val="FootnoteText"/>
      </w:pPr>
      <w:r w:rsidRPr="00A94CA0">
        <w:rPr>
          <w:rStyle w:val="FootnoteReference"/>
        </w:rPr>
        <w:footnoteRef/>
      </w:r>
      <w:r w:rsidRPr="00A94CA0">
        <w:t xml:space="preserve"> Ontario Health Sector - An Updated Assessment of Ontario Health Spending, FAO, p. 2,</w:t>
      </w:r>
    </w:p>
    <w:p w14:paraId="6ED506DE" w14:textId="77777777" w:rsidR="00FB4BFA" w:rsidRPr="00677DD3" w:rsidRDefault="00FB4BFA" w:rsidP="00677DD3">
      <w:pPr>
        <w:pStyle w:val="FootnoteText"/>
        <w:rPr>
          <w:lang w:val="en-CA"/>
        </w:rPr>
      </w:pPr>
      <w:r w:rsidRPr="00A94CA0">
        <w:t>https://www.fao-on.org/en/Blog/Publications/health-sector-march-18</w:t>
      </w:r>
    </w:p>
  </w:footnote>
  <w:footnote w:id="5">
    <w:p w14:paraId="0277AC7D" w14:textId="77777777" w:rsidR="00FA3300" w:rsidRDefault="00FA3300" w:rsidP="00FA3300">
      <w:pPr>
        <w:pStyle w:val="FootnoteText"/>
      </w:pPr>
      <w:r>
        <w:rPr>
          <w:rStyle w:val="FootnoteReference"/>
        </w:rPr>
        <w:footnoteRef/>
      </w:r>
      <w:r>
        <w:t xml:space="preserve"> Canadian Journal of Emergency Medicine (2022) 24:742–750</w:t>
      </w:r>
    </w:p>
    <w:p w14:paraId="3C8C06DC" w14:textId="4420E20B" w:rsidR="00FA3300" w:rsidRPr="00FA3300" w:rsidRDefault="00FA3300" w:rsidP="00FA3300">
      <w:pPr>
        <w:pStyle w:val="FootnoteText"/>
        <w:rPr>
          <w:lang w:val="en-CA"/>
        </w:rPr>
      </w:pPr>
      <w:r>
        <w:t>https://doi.org/10.1007/s43678-022-00363-4</w:t>
      </w:r>
    </w:p>
  </w:footnote>
  <w:footnote w:id="6">
    <w:p w14:paraId="1B1F1385" w14:textId="56D9F588" w:rsidR="00FB4BFA" w:rsidRDefault="00FB4BFA">
      <w:pPr>
        <w:pStyle w:val="FootnoteText"/>
      </w:pPr>
      <w:r>
        <w:rPr>
          <w:rStyle w:val="FootnoteReference"/>
        </w:rPr>
        <w:footnoteRef/>
      </w:r>
      <w:r>
        <w:t xml:space="preserve"> Chart is organized by DNSSAB’s closest comparators, left to right, based on size of organization</w:t>
      </w:r>
      <w:r w:rsidR="000943E6">
        <w:t>, geography,</w:t>
      </w:r>
      <w:r>
        <w:t xml:space="preserve"> and services provided. </w:t>
      </w:r>
      <w:r w:rsidR="000943E6">
        <w:t>Seven</w:t>
      </w:r>
      <w:r>
        <w:t xml:space="preserve"> other DSSABs had their budgets available on their website. </w:t>
      </w:r>
      <w:r w:rsidR="000943E6">
        <w:t>DSSAB 4 in the chart above, only had their 2022 budget available on their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A10" w14:textId="77777777" w:rsidR="00FB4BFA" w:rsidRDefault="00FB4BFA">
    <w:pPr>
      <w:pStyle w:val="Header"/>
      <w:rPr>
        <w:noProof/>
        <w:lang w:val="en-CA" w:eastAsia="en-CA"/>
      </w:rPr>
    </w:pPr>
  </w:p>
  <w:p w14:paraId="0198833D" w14:textId="77777777" w:rsidR="00FB4BFA" w:rsidRDefault="00FB4BFA">
    <w:pPr>
      <w:pStyle w:val="Header"/>
      <w:rPr>
        <w:noProof/>
        <w:lang w:val="en-CA" w:eastAsia="en-CA"/>
      </w:rPr>
    </w:pPr>
  </w:p>
  <w:p w14:paraId="6151C810" w14:textId="4BB88A25" w:rsidR="00FB4BFA" w:rsidRDefault="00FB4BFA">
    <w:pPr>
      <w:pStyle w:val="Header"/>
    </w:pPr>
    <w:r w:rsidRPr="00224B3D">
      <w:rPr>
        <w:noProof/>
        <w:lang w:val="en-CA" w:eastAsia="en-CA"/>
      </w:rPr>
      <w:drawing>
        <wp:anchor distT="0" distB="0" distL="114300" distR="114300" simplePos="0" relativeHeight="251655168" behindDoc="0" locked="0" layoutInCell="1" allowOverlap="1" wp14:anchorId="7A97C7F8" wp14:editId="2BDF63D7">
          <wp:simplePos x="0" y="0"/>
          <wp:positionH relativeFrom="column">
            <wp:posOffset>1971675</wp:posOffset>
          </wp:positionH>
          <wp:positionV relativeFrom="paragraph">
            <wp:posOffset>-342900</wp:posOffset>
          </wp:positionV>
          <wp:extent cx="2349500" cy="586105"/>
          <wp:effectExtent l="0" t="0" r="0" b="4445"/>
          <wp:wrapSquare wrapText="bothSides"/>
          <wp:docPr id="3" name="Picture 3" descr="http://housing.dnssab.on.ca/Graphi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using.dnssab.on.ca/Graphic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500"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4F990" w14:textId="77777777" w:rsidR="00FB4BFA" w:rsidRDefault="00FB4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71A"/>
    <w:multiLevelType w:val="multilevel"/>
    <w:tmpl w:val="6DD4FD8C"/>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E04AEF"/>
    <w:multiLevelType w:val="hybridMultilevel"/>
    <w:tmpl w:val="C8E6A128"/>
    <w:lvl w:ilvl="0" w:tplc="AEEE8F6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0F07"/>
    <w:multiLevelType w:val="hybridMultilevel"/>
    <w:tmpl w:val="5486FB18"/>
    <w:lvl w:ilvl="0" w:tplc="E552F8D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F0A58"/>
    <w:multiLevelType w:val="hybridMultilevel"/>
    <w:tmpl w:val="4C0824A8"/>
    <w:lvl w:ilvl="0" w:tplc="0409000F">
      <w:start w:val="1"/>
      <w:numFmt w:val="decimal"/>
      <w:lvlText w:val="%1."/>
      <w:lvlJc w:val="left"/>
      <w:pPr>
        <w:ind w:left="720" w:hanging="360"/>
      </w:pPr>
    </w:lvl>
    <w:lvl w:ilvl="1" w:tplc="B78614FA">
      <w:start w:val="1"/>
      <w:numFmt w:val="bullet"/>
      <w:lvlText w:val=""/>
      <w:lvlJc w:val="left"/>
      <w:pPr>
        <w:ind w:left="1440" w:hanging="360"/>
      </w:pPr>
      <w:rPr>
        <w:rFonts w:ascii="Symbol" w:hAnsi="Symbol" w:hint="default"/>
        <w:color w:val="1F497D" w:themeColor="text2"/>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A236E"/>
    <w:multiLevelType w:val="hybridMultilevel"/>
    <w:tmpl w:val="33ACA47A"/>
    <w:lvl w:ilvl="0" w:tplc="6F8CD6A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41535"/>
    <w:multiLevelType w:val="hybridMultilevel"/>
    <w:tmpl w:val="EBA4B4EA"/>
    <w:lvl w:ilvl="0" w:tplc="E552F8D2">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D5824"/>
    <w:multiLevelType w:val="hybridMultilevel"/>
    <w:tmpl w:val="59E0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72157"/>
    <w:multiLevelType w:val="hybridMultilevel"/>
    <w:tmpl w:val="449EEF58"/>
    <w:lvl w:ilvl="0" w:tplc="AF20F3E8">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34F46"/>
    <w:multiLevelType w:val="hybridMultilevel"/>
    <w:tmpl w:val="2F3693FA"/>
    <w:lvl w:ilvl="0" w:tplc="7B807F3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9351E"/>
    <w:multiLevelType w:val="multilevel"/>
    <w:tmpl w:val="1A3CE92E"/>
    <w:lvl w:ilvl="0">
      <w:start w:val="3"/>
      <w:numFmt w:val="decimal"/>
      <w:lvlText w:val="%1"/>
      <w:lvlJc w:val="left"/>
      <w:pPr>
        <w:ind w:left="528" w:hanging="528"/>
      </w:pPr>
      <w:rPr>
        <w:rFonts w:hint="default"/>
      </w:rPr>
    </w:lvl>
    <w:lvl w:ilvl="1">
      <w:start w:val="1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C128C3"/>
    <w:multiLevelType w:val="hybridMultilevel"/>
    <w:tmpl w:val="D2C43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CE045A"/>
    <w:multiLevelType w:val="hybridMultilevel"/>
    <w:tmpl w:val="2E50F9EE"/>
    <w:lvl w:ilvl="0" w:tplc="7B807F3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F3349"/>
    <w:multiLevelType w:val="hybridMultilevel"/>
    <w:tmpl w:val="9098A862"/>
    <w:lvl w:ilvl="0" w:tplc="56A0C450">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159EC"/>
    <w:multiLevelType w:val="hybridMultilevel"/>
    <w:tmpl w:val="E87A3318"/>
    <w:lvl w:ilvl="0" w:tplc="EDB85FC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93A98"/>
    <w:multiLevelType w:val="hybridMultilevel"/>
    <w:tmpl w:val="42BCA302"/>
    <w:lvl w:ilvl="0" w:tplc="EDB85FCE">
      <w:start w:val="1"/>
      <w:numFmt w:val="bullet"/>
      <w:lvlText w:val=""/>
      <w:lvlJc w:val="left"/>
      <w:pPr>
        <w:ind w:left="0" w:hanging="360"/>
      </w:pPr>
      <w:rPr>
        <w:rFonts w:ascii="Symbol" w:hAnsi="Symbol" w:hint="default"/>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155476E"/>
    <w:multiLevelType w:val="hybridMultilevel"/>
    <w:tmpl w:val="2E28362C"/>
    <w:lvl w:ilvl="0" w:tplc="AEEE8F6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763CB"/>
    <w:multiLevelType w:val="hybridMultilevel"/>
    <w:tmpl w:val="1A5A605A"/>
    <w:lvl w:ilvl="0" w:tplc="FBC2C37A">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E5FDC"/>
    <w:multiLevelType w:val="hybridMultilevel"/>
    <w:tmpl w:val="8708B2C0"/>
    <w:lvl w:ilvl="0" w:tplc="E552F8D2">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517D9"/>
    <w:multiLevelType w:val="hybridMultilevel"/>
    <w:tmpl w:val="32DA443C"/>
    <w:lvl w:ilvl="0" w:tplc="EDB85FC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E6E7C"/>
    <w:multiLevelType w:val="multilevel"/>
    <w:tmpl w:val="7E10C534"/>
    <w:lvl w:ilvl="0">
      <w:start w:val="4"/>
      <w:numFmt w:val="decimal"/>
      <w:lvlText w:val="%1"/>
      <w:lvlJc w:val="left"/>
      <w:pPr>
        <w:ind w:left="456" w:hanging="456"/>
      </w:pPr>
      <w:rPr>
        <w:rFonts w:hint="default"/>
      </w:rPr>
    </w:lvl>
    <w:lvl w:ilvl="1">
      <w:start w:val="5"/>
      <w:numFmt w:val="decimal"/>
      <w:lvlText w:val="%1.%2"/>
      <w:lvlJc w:val="left"/>
      <w:pPr>
        <w:ind w:left="456" w:hanging="45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837B65"/>
    <w:multiLevelType w:val="hybridMultilevel"/>
    <w:tmpl w:val="4FC46844"/>
    <w:lvl w:ilvl="0" w:tplc="683087C4">
      <w:start w:val="1"/>
      <w:numFmt w:val="bullet"/>
      <w:lvlText w:val=""/>
      <w:lvlJc w:val="left"/>
      <w:pPr>
        <w:ind w:left="720" w:hanging="360"/>
      </w:pPr>
      <w:rPr>
        <w:rFonts w:ascii="Symbol" w:hAnsi="Symbol" w:hint="default"/>
        <w:color w:val="1F497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934CBF"/>
    <w:multiLevelType w:val="hybridMultilevel"/>
    <w:tmpl w:val="2702FCE0"/>
    <w:lvl w:ilvl="0" w:tplc="E552F8D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7786C"/>
    <w:multiLevelType w:val="hybridMultilevel"/>
    <w:tmpl w:val="1FDEF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545017"/>
    <w:multiLevelType w:val="hybridMultilevel"/>
    <w:tmpl w:val="EE3273FE"/>
    <w:lvl w:ilvl="0" w:tplc="56A0C450">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03C6C"/>
    <w:multiLevelType w:val="hybridMultilevel"/>
    <w:tmpl w:val="879ABA6A"/>
    <w:lvl w:ilvl="0" w:tplc="E552F8D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A647A"/>
    <w:multiLevelType w:val="hybridMultilevel"/>
    <w:tmpl w:val="D17C0E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599504A7"/>
    <w:multiLevelType w:val="hybridMultilevel"/>
    <w:tmpl w:val="3D7C3982"/>
    <w:lvl w:ilvl="0" w:tplc="56A0C450">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F6242"/>
    <w:multiLevelType w:val="hybridMultilevel"/>
    <w:tmpl w:val="6EAAF908"/>
    <w:lvl w:ilvl="0" w:tplc="EDB85FCE">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D133B"/>
    <w:multiLevelType w:val="multilevel"/>
    <w:tmpl w:val="FF02900E"/>
    <w:lvl w:ilvl="0">
      <w:start w:val="3"/>
      <w:numFmt w:val="decimal"/>
      <w:lvlText w:val="%1"/>
      <w:lvlJc w:val="left"/>
      <w:pPr>
        <w:ind w:left="456" w:hanging="456"/>
      </w:pPr>
      <w:rPr>
        <w:rFonts w:hint="default"/>
      </w:rPr>
    </w:lvl>
    <w:lvl w:ilvl="1">
      <w:start w:val="4"/>
      <w:numFmt w:val="decimal"/>
      <w:lvlText w:val="%1.%2"/>
      <w:lvlJc w:val="left"/>
      <w:pPr>
        <w:ind w:left="456" w:hanging="45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F01E5"/>
    <w:multiLevelType w:val="hybridMultilevel"/>
    <w:tmpl w:val="C89C7E24"/>
    <w:lvl w:ilvl="0" w:tplc="EDB85FCE">
      <w:start w:val="1"/>
      <w:numFmt w:val="bullet"/>
      <w:lvlText w:val=""/>
      <w:lvlJc w:val="left"/>
      <w:pPr>
        <w:ind w:left="720" w:hanging="360"/>
      </w:pPr>
      <w:rPr>
        <w:rFonts w:ascii="Symbol" w:hAnsi="Symbol" w:hint="default"/>
        <w:color w:val="1F497D" w:themeColor="text2"/>
      </w:rPr>
    </w:lvl>
    <w:lvl w:ilvl="1" w:tplc="88A23F44">
      <w:start w:val="1"/>
      <w:numFmt w:val="bullet"/>
      <w:lvlText w:val="o"/>
      <w:lvlJc w:val="left"/>
      <w:pPr>
        <w:ind w:left="1440" w:hanging="360"/>
      </w:pPr>
      <w:rPr>
        <w:rFonts w:ascii="Courier New" w:hAnsi="Courier New" w:cs="Courier New"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544F6"/>
    <w:multiLevelType w:val="hybridMultilevel"/>
    <w:tmpl w:val="21DEB726"/>
    <w:lvl w:ilvl="0" w:tplc="AEEE8F6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51C1"/>
    <w:multiLevelType w:val="hybridMultilevel"/>
    <w:tmpl w:val="40CE99EA"/>
    <w:lvl w:ilvl="0" w:tplc="56A0C450">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37139"/>
    <w:multiLevelType w:val="hybridMultilevel"/>
    <w:tmpl w:val="CF708EC8"/>
    <w:lvl w:ilvl="0" w:tplc="56A0C45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83767"/>
    <w:multiLevelType w:val="hybridMultilevel"/>
    <w:tmpl w:val="ED7A1B18"/>
    <w:lvl w:ilvl="0" w:tplc="EDB85FC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83FED"/>
    <w:multiLevelType w:val="hybridMultilevel"/>
    <w:tmpl w:val="5D4A70D8"/>
    <w:lvl w:ilvl="0" w:tplc="56A0C45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A1BDD"/>
    <w:multiLevelType w:val="hybridMultilevel"/>
    <w:tmpl w:val="FFCA7D98"/>
    <w:lvl w:ilvl="0" w:tplc="CEEA8FA8">
      <w:start w:val="1"/>
      <w:numFmt w:val="bullet"/>
      <w:lvlText w:val=""/>
      <w:lvlJc w:val="left"/>
      <w:pPr>
        <w:ind w:left="720" w:hanging="360"/>
      </w:pPr>
      <w:rPr>
        <w:rFonts w:ascii="Symbol" w:hAnsi="Symbol" w:hint="default"/>
        <w:color w:val="1F497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AFC73A8"/>
    <w:multiLevelType w:val="hybridMultilevel"/>
    <w:tmpl w:val="E092D5D0"/>
    <w:lvl w:ilvl="0" w:tplc="0CC8C12A">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244126">
    <w:abstractNumId w:val="0"/>
  </w:num>
  <w:num w:numId="2" w16cid:durableId="1621108940">
    <w:abstractNumId w:val="7"/>
  </w:num>
  <w:num w:numId="3" w16cid:durableId="527378376">
    <w:abstractNumId w:val="8"/>
  </w:num>
  <w:num w:numId="4" w16cid:durableId="1697999980">
    <w:abstractNumId w:val="11"/>
  </w:num>
  <w:num w:numId="5" w16cid:durableId="862479105">
    <w:abstractNumId w:val="33"/>
  </w:num>
  <w:num w:numId="6" w16cid:durableId="1175875736">
    <w:abstractNumId w:val="18"/>
  </w:num>
  <w:num w:numId="7" w16cid:durableId="319045560">
    <w:abstractNumId w:val="29"/>
  </w:num>
  <w:num w:numId="8" w16cid:durableId="1358312487">
    <w:abstractNumId w:val="13"/>
  </w:num>
  <w:num w:numId="9" w16cid:durableId="38551366">
    <w:abstractNumId w:val="14"/>
  </w:num>
  <w:num w:numId="10" w16cid:durableId="600262767">
    <w:abstractNumId w:val="27"/>
  </w:num>
  <w:num w:numId="11" w16cid:durableId="608709083">
    <w:abstractNumId w:val="25"/>
  </w:num>
  <w:num w:numId="12" w16cid:durableId="1464151043">
    <w:abstractNumId w:val="30"/>
  </w:num>
  <w:num w:numId="13" w16cid:durableId="505873939">
    <w:abstractNumId w:val="1"/>
  </w:num>
  <w:num w:numId="14" w16cid:durableId="385032627">
    <w:abstractNumId w:val="15"/>
  </w:num>
  <w:num w:numId="15" w16cid:durableId="1194074480">
    <w:abstractNumId w:val="23"/>
  </w:num>
  <w:num w:numId="16" w16cid:durableId="1068768065">
    <w:abstractNumId w:val="16"/>
  </w:num>
  <w:num w:numId="17" w16cid:durableId="2096901120">
    <w:abstractNumId w:val="31"/>
  </w:num>
  <w:num w:numId="18" w16cid:durableId="55054667">
    <w:abstractNumId w:val="26"/>
  </w:num>
  <w:num w:numId="19" w16cid:durableId="2046561549">
    <w:abstractNumId w:val="12"/>
  </w:num>
  <w:num w:numId="20" w16cid:durableId="853304971">
    <w:abstractNumId w:val="34"/>
  </w:num>
  <w:num w:numId="21" w16cid:durableId="961494834">
    <w:abstractNumId w:val="5"/>
  </w:num>
  <w:num w:numId="22" w16cid:durableId="44570248">
    <w:abstractNumId w:val="2"/>
  </w:num>
  <w:num w:numId="23" w16cid:durableId="504631492">
    <w:abstractNumId w:val="21"/>
  </w:num>
  <w:num w:numId="24" w16cid:durableId="1350135511">
    <w:abstractNumId w:val="17"/>
  </w:num>
  <w:num w:numId="25" w16cid:durableId="188419264">
    <w:abstractNumId w:val="24"/>
  </w:num>
  <w:num w:numId="26" w16cid:durableId="1725641720">
    <w:abstractNumId w:val="36"/>
  </w:num>
  <w:num w:numId="27" w16cid:durableId="1937665094">
    <w:abstractNumId w:val="3"/>
  </w:num>
  <w:num w:numId="28" w16cid:durableId="618876253">
    <w:abstractNumId w:val="32"/>
  </w:num>
  <w:num w:numId="29" w16cid:durableId="1781342261">
    <w:abstractNumId w:val="4"/>
  </w:num>
  <w:num w:numId="30" w16cid:durableId="1371609668">
    <w:abstractNumId w:val="19"/>
  </w:num>
  <w:num w:numId="31" w16cid:durableId="659771470">
    <w:abstractNumId w:val="6"/>
  </w:num>
  <w:num w:numId="32" w16cid:durableId="1743023798">
    <w:abstractNumId w:val="35"/>
  </w:num>
  <w:num w:numId="33" w16cid:durableId="370880485">
    <w:abstractNumId w:val="9"/>
  </w:num>
  <w:num w:numId="34" w16cid:durableId="1092240223">
    <w:abstractNumId w:val="28"/>
  </w:num>
  <w:num w:numId="35" w16cid:durableId="249392182">
    <w:abstractNumId w:val="22"/>
  </w:num>
  <w:num w:numId="36" w16cid:durableId="1226334402">
    <w:abstractNumId w:val="20"/>
  </w:num>
  <w:num w:numId="37" w16cid:durableId="1474634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C5"/>
    <w:rsid w:val="000001E8"/>
    <w:rsid w:val="0000150A"/>
    <w:rsid w:val="00002F41"/>
    <w:rsid w:val="00004258"/>
    <w:rsid w:val="000049A0"/>
    <w:rsid w:val="00006621"/>
    <w:rsid w:val="00006783"/>
    <w:rsid w:val="00007059"/>
    <w:rsid w:val="00010965"/>
    <w:rsid w:val="000116BA"/>
    <w:rsid w:val="0001193C"/>
    <w:rsid w:val="000134EA"/>
    <w:rsid w:val="00014535"/>
    <w:rsid w:val="00015C25"/>
    <w:rsid w:val="0002044D"/>
    <w:rsid w:val="00020F9D"/>
    <w:rsid w:val="0002129A"/>
    <w:rsid w:val="0002145B"/>
    <w:rsid w:val="000244C0"/>
    <w:rsid w:val="00026EE5"/>
    <w:rsid w:val="00032444"/>
    <w:rsid w:val="00032768"/>
    <w:rsid w:val="000341F6"/>
    <w:rsid w:val="00034D16"/>
    <w:rsid w:val="00040F50"/>
    <w:rsid w:val="00041D98"/>
    <w:rsid w:val="00043FC7"/>
    <w:rsid w:val="00044334"/>
    <w:rsid w:val="00047EF9"/>
    <w:rsid w:val="00047F02"/>
    <w:rsid w:val="000507EA"/>
    <w:rsid w:val="00050980"/>
    <w:rsid w:val="000517B5"/>
    <w:rsid w:val="00052BE6"/>
    <w:rsid w:val="00055F6A"/>
    <w:rsid w:val="00056027"/>
    <w:rsid w:val="00065512"/>
    <w:rsid w:val="0007223B"/>
    <w:rsid w:val="000728FA"/>
    <w:rsid w:val="00074D4A"/>
    <w:rsid w:val="00077868"/>
    <w:rsid w:val="00077AA6"/>
    <w:rsid w:val="00077D61"/>
    <w:rsid w:val="000813FD"/>
    <w:rsid w:val="00083EF6"/>
    <w:rsid w:val="00083F50"/>
    <w:rsid w:val="00086A74"/>
    <w:rsid w:val="0009381C"/>
    <w:rsid w:val="000943E6"/>
    <w:rsid w:val="0009687E"/>
    <w:rsid w:val="0009770C"/>
    <w:rsid w:val="000A1548"/>
    <w:rsid w:val="000A3170"/>
    <w:rsid w:val="000A31C6"/>
    <w:rsid w:val="000A554B"/>
    <w:rsid w:val="000B4F5D"/>
    <w:rsid w:val="000B72B6"/>
    <w:rsid w:val="000B7B55"/>
    <w:rsid w:val="000C064D"/>
    <w:rsid w:val="000C6A62"/>
    <w:rsid w:val="000D0896"/>
    <w:rsid w:val="000D362F"/>
    <w:rsid w:val="000D3ABF"/>
    <w:rsid w:val="000D41E4"/>
    <w:rsid w:val="000D608C"/>
    <w:rsid w:val="000D6DBD"/>
    <w:rsid w:val="000E1C41"/>
    <w:rsid w:val="000E37AD"/>
    <w:rsid w:val="000E4E7A"/>
    <w:rsid w:val="000E4F62"/>
    <w:rsid w:val="000F1CDD"/>
    <w:rsid w:val="000F4FDF"/>
    <w:rsid w:val="000F51C7"/>
    <w:rsid w:val="000F6F68"/>
    <w:rsid w:val="000F7E94"/>
    <w:rsid w:val="00100EAB"/>
    <w:rsid w:val="00101C3E"/>
    <w:rsid w:val="00102245"/>
    <w:rsid w:val="001031E4"/>
    <w:rsid w:val="001033F5"/>
    <w:rsid w:val="00104815"/>
    <w:rsid w:val="00105F7E"/>
    <w:rsid w:val="0011268A"/>
    <w:rsid w:val="00113574"/>
    <w:rsid w:val="00114234"/>
    <w:rsid w:val="001148A7"/>
    <w:rsid w:val="00115089"/>
    <w:rsid w:val="00117954"/>
    <w:rsid w:val="001228AB"/>
    <w:rsid w:val="00122FB6"/>
    <w:rsid w:val="00123541"/>
    <w:rsid w:val="001238AC"/>
    <w:rsid w:val="00125864"/>
    <w:rsid w:val="0012748C"/>
    <w:rsid w:val="00131E41"/>
    <w:rsid w:val="00132ED4"/>
    <w:rsid w:val="00133455"/>
    <w:rsid w:val="00134D36"/>
    <w:rsid w:val="00136E29"/>
    <w:rsid w:val="00140702"/>
    <w:rsid w:val="0014074F"/>
    <w:rsid w:val="00144743"/>
    <w:rsid w:val="00144ED2"/>
    <w:rsid w:val="0014539D"/>
    <w:rsid w:val="00150095"/>
    <w:rsid w:val="001515AC"/>
    <w:rsid w:val="00155491"/>
    <w:rsid w:val="00160C5C"/>
    <w:rsid w:val="00165E6E"/>
    <w:rsid w:val="00166F49"/>
    <w:rsid w:val="00170243"/>
    <w:rsid w:val="001709AA"/>
    <w:rsid w:val="00172522"/>
    <w:rsid w:val="00173E43"/>
    <w:rsid w:val="00174921"/>
    <w:rsid w:val="001759E1"/>
    <w:rsid w:val="00176BBD"/>
    <w:rsid w:val="001805DA"/>
    <w:rsid w:val="00180A59"/>
    <w:rsid w:val="0018297C"/>
    <w:rsid w:val="00186BA6"/>
    <w:rsid w:val="001909E9"/>
    <w:rsid w:val="00193150"/>
    <w:rsid w:val="001932D1"/>
    <w:rsid w:val="001A0511"/>
    <w:rsid w:val="001A0CFF"/>
    <w:rsid w:val="001A2FE4"/>
    <w:rsid w:val="001A3500"/>
    <w:rsid w:val="001B642A"/>
    <w:rsid w:val="001B661D"/>
    <w:rsid w:val="001C0B1D"/>
    <w:rsid w:val="001C121F"/>
    <w:rsid w:val="001C1849"/>
    <w:rsid w:val="001C2BC9"/>
    <w:rsid w:val="001C35C4"/>
    <w:rsid w:val="001C4FCA"/>
    <w:rsid w:val="001C4FED"/>
    <w:rsid w:val="001C50DE"/>
    <w:rsid w:val="001D108C"/>
    <w:rsid w:val="001D2105"/>
    <w:rsid w:val="001D59A7"/>
    <w:rsid w:val="001D5F5A"/>
    <w:rsid w:val="001E36F1"/>
    <w:rsid w:val="001E3C24"/>
    <w:rsid w:val="001E40FA"/>
    <w:rsid w:val="001E4378"/>
    <w:rsid w:val="001E4D71"/>
    <w:rsid w:val="001E6559"/>
    <w:rsid w:val="001F0445"/>
    <w:rsid w:val="001F0989"/>
    <w:rsid w:val="001F1D8E"/>
    <w:rsid w:val="001F37E3"/>
    <w:rsid w:val="001F3F1C"/>
    <w:rsid w:val="001F51FF"/>
    <w:rsid w:val="001F5752"/>
    <w:rsid w:val="001F6C60"/>
    <w:rsid w:val="001F77F1"/>
    <w:rsid w:val="001F79A8"/>
    <w:rsid w:val="002009E9"/>
    <w:rsid w:val="002018AE"/>
    <w:rsid w:val="0020390E"/>
    <w:rsid w:val="00205C49"/>
    <w:rsid w:val="002067B7"/>
    <w:rsid w:val="0020726B"/>
    <w:rsid w:val="00207A4C"/>
    <w:rsid w:val="00210F14"/>
    <w:rsid w:val="0021125A"/>
    <w:rsid w:val="00212102"/>
    <w:rsid w:val="00216EF2"/>
    <w:rsid w:val="002247C9"/>
    <w:rsid w:val="00224E0D"/>
    <w:rsid w:val="00225236"/>
    <w:rsid w:val="00226108"/>
    <w:rsid w:val="0022717B"/>
    <w:rsid w:val="002331CC"/>
    <w:rsid w:val="002336A4"/>
    <w:rsid w:val="00233B4A"/>
    <w:rsid w:val="002340F0"/>
    <w:rsid w:val="00235D62"/>
    <w:rsid w:val="00237752"/>
    <w:rsid w:val="00240358"/>
    <w:rsid w:val="00242CFA"/>
    <w:rsid w:val="00244698"/>
    <w:rsid w:val="0024528E"/>
    <w:rsid w:val="002457C3"/>
    <w:rsid w:val="00246140"/>
    <w:rsid w:val="00250238"/>
    <w:rsid w:val="002540B0"/>
    <w:rsid w:val="00255A51"/>
    <w:rsid w:val="00255CA5"/>
    <w:rsid w:val="002563D0"/>
    <w:rsid w:val="00257B2C"/>
    <w:rsid w:val="002608DC"/>
    <w:rsid w:val="00263EDC"/>
    <w:rsid w:val="00264943"/>
    <w:rsid w:val="002667C8"/>
    <w:rsid w:val="00266869"/>
    <w:rsid w:val="00266BFE"/>
    <w:rsid w:val="00266DFC"/>
    <w:rsid w:val="00267422"/>
    <w:rsid w:val="002775BB"/>
    <w:rsid w:val="00277FDB"/>
    <w:rsid w:val="00281C0F"/>
    <w:rsid w:val="00290C41"/>
    <w:rsid w:val="00290C83"/>
    <w:rsid w:val="00290DEA"/>
    <w:rsid w:val="00295F48"/>
    <w:rsid w:val="00297728"/>
    <w:rsid w:val="002A141F"/>
    <w:rsid w:val="002A2D3A"/>
    <w:rsid w:val="002A3866"/>
    <w:rsid w:val="002A4604"/>
    <w:rsid w:val="002A7348"/>
    <w:rsid w:val="002B1A5B"/>
    <w:rsid w:val="002B1EEA"/>
    <w:rsid w:val="002B309D"/>
    <w:rsid w:val="002B5314"/>
    <w:rsid w:val="002B58D4"/>
    <w:rsid w:val="002B5C50"/>
    <w:rsid w:val="002B7893"/>
    <w:rsid w:val="002B7B4E"/>
    <w:rsid w:val="002C038F"/>
    <w:rsid w:val="002C1A11"/>
    <w:rsid w:val="002C2C05"/>
    <w:rsid w:val="002C3CB6"/>
    <w:rsid w:val="002C4139"/>
    <w:rsid w:val="002D0D7D"/>
    <w:rsid w:val="002D12BA"/>
    <w:rsid w:val="002D3019"/>
    <w:rsid w:val="002D317F"/>
    <w:rsid w:val="002D45DF"/>
    <w:rsid w:val="002D59F8"/>
    <w:rsid w:val="002D6237"/>
    <w:rsid w:val="002D6FB4"/>
    <w:rsid w:val="002D7DCB"/>
    <w:rsid w:val="002E3292"/>
    <w:rsid w:val="002E7B2E"/>
    <w:rsid w:val="002F1345"/>
    <w:rsid w:val="002F435A"/>
    <w:rsid w:val="00300EAB"/>
    <w:rsid w:val="0030258D"/>
    <w:rsid w:val="003027FC"/>
    <w:rsid w:val="00307B7D"/>
    <w:rsid w:val="00307B9D"/>
    <w:rsid w:val="00311231"/>
    <w:rsid w:val="00312FF3"/>
    <w:rsid w:val="0031340A"/>
    <w:rsid w:val="00314AED"/>
    <w:rsid w:val="00314B98"/>
    <w:rsid w:val="003151C9"/>
    <w:rsid w:val="00317709"/>
    <w:rsid w:val="00317C59"/>
    <w:rsid w:val="00320D9F"/>
    <w:rsid w:val="00321FF4"/>
    <w:rsid w:val="00322DFC"/>
    <w:rsid w:val="00323F4B"/>
    <w:rsid w:val="0032739E"/>
    <w:rsid w:val="003322F8"/>
    <w:rsid w:val="003368DB"/>
    <w:rsid w:val="00337A80"/>
    <w:rsid w:val="00337D18"/>
    <w:rsid w:val="0034096E"/>
    <w:rsid w:val="00341A27"/>
    <w:rsid w:val="0034210F"/>
    <w:rsid w:val="003428B4"/>
    <w:rsid w:val="00343942"/>
    <w:rsid w:val="003445C5"/>
    <w:rsid w:val="00345290"/>
    <w:rsid w:val="00351577"/>
    <w:rsid w:val="003525FD"/>
    <w:rsid w:val="00354BFE"/>
    <w:rsid w:val="00354F56"/>
    <w:rsid w:val="00357D3B"/>
    <w:rsid w:val="0036294E"/>
    <w:rsid w:val="003642FA"/>
    <w:rsid w:val="00366467"/>
    <w:rsid w:val="00373E9D"/>
    <w:rsid w:val="003760CF"/>
    <w:rsid w:val="003764A3"/>
    <w:rsid w:val="003778CE"/>
    <w:rsid w:val="00380AB4"/>
    <w:rsid w:val="003814EB"/>
    <w:rsid w:val="00381FCD"/>
    <w:rsid w:val="0038350E"/>
    <w:rsid w:val="0038435F"/>
    <w:rsid w:val="003877E1"/>
    <w:rsid w:val="00392F1D"/>
    <w:rsid w:val="00393C44"/>
    <w:rsid w:val="003A00C1"/>
    <w:rsid w:val="003A11D7"/>
    <w:rsid w:val="003B40B3"/>
    <w:rsid w:val="003B4316"/>
    <w:rsid w:val="003B46A8"/>
    <w:rsid w:val="003B5519"/>
    <w:rsid w:val="003C1F8E"/>
    <w:rsid w:val="003C319B"/>
    <w:rsid w:val="003C5FAC"/>
    <w:rsid w:val="003D11AC"/>
    <w:rsid w:val="003D3DD7"/>
    <w:rsid w:val="003D70A1"/>
    <w:rsid w:val="003E28CE"/>
    <w:rsid w:val="003E3B40"/>
    <w:rsid w:val="003E4128"/>
    <w:rsid w:val="003E4702"/>
    <w:rsid w:val="003E5672"/>
    <w:rsid w:val="003E5C3B"/>
    <w:rsid w:val="003E7554"/>
    <w:rsid w:val="003E7A61"/>
    <w:rsid w:val="003F08E8"/>
    <w:rsid w:val="003F0919"/>
    <w:rsid w:val="003F1F42"/>
    <w:rsid w:val="003F2A33"/>
    <w:rsid w:val="003F31EC"/>
    <w:rsid w:val="003F3D04"/>
    <w:rsid w:val="003F43E0"/>
    <w:rsid w:val="003F529C"/>
    <w:rsid w:val="003F52A0"/>
    <w:rsid w:val="003F5FDF"/>
    <w:rsid w:val="003F67CA"/>
    <w:rsid w:val="003F7B97"/>
    <w:rsid w:val="003F7FBD"/>
    <w:rsid w:val="00401F72"/>
    <w:rsid w:val="00406F80"/>
    <w:rsid w:val="0041051A"/>
    <w:rsid w:val="0041067E"/>
    <w:rsid w:val="004109EC"/>
    <w:rsid w:val="004110DE"/>
    <w:rsid w:val="00412119"/>
    <w:rsid w:val="004126A6"/>
    <w:rsid w:val="0041738F"/>
    <w:rsid w:val="00420E66"/>
    <w:rsid w:val="004227B5"/>
    <w:rsid w:val="004227C4"/>
    <w:rsid w:val="00423754"/>
    <w:rsid w:val="00426393"/>
    <w:rsid w:val="0042651C"/>
    <w:rsid w:val="004342F2"/>
    <w:rsid w:val="00435AAF"/>
    <w:rsid w:val="004364C7"/>
    <w:rsid w:val="00437287"/>
    <w:rsid w:val="00441D76"/>
    <w:rsid w:val="004541AC"/>
    <w:rsid w:val="00456905"/>
    <w:rsid w:val="00456E55"/>
    <w:rsid w:val="00461B0A"/>
    <w:rsid w:val="00463AE7"/>
    <w:rsid w:val="0047275A"/>
    <w:rsid w:val="00474E64"/>
    <w:rsid w:val="004757EE"/>
    <w:rsid w:val="00476B63"/>
    <w:rsid w:val="00480AEB"/>
    <w:rsid w:val="00480BC3"/>
    <w:rsid w:val="004818DE"/>
    <w:rsid w:val="00482353"/>
    <w:rsid w:val="0048504E"/>
    <w:rsid w:val="00491B98"/>
    <w:rsid w:val="004964A8"/>
    <w:rsid w:val="0049738C"/>
    <w:rsid w:val="00497BDE"/>
    <w:rsid w:val="004A56B2"/>
    <w:rsid w:val="004B06FA"/>
    <w:rsid w:val="004B176D"/>
    <w:rsid w:val="004B2795"/>
    <w:rsid w:val="004B5DB7"/>
    <w:rsid w:val="004B6246"/>
    <w:rsid w:val="004C28F1"/>
    <w:rsid w:val="004C3443"/>
    <w:rsid w:val="004C4055"/>
    <w:rsid w:val="004D246B"/>
    <w:rsid w:val="004D2948"/>
    <w:rsid w:val="004D51D3"/>
    <w:rsid w:val="004D60AC"/>
    <w:rsid w:val="004D7667"/>
    <w:rsid w:val="004E1BC6"/>
    <w:rsid w:val="004E3E98"/>
    <w:rsid w:val="004E60E2"/>
    <w:rsid w:val="004E652F"/>
    <w:rsid w:val="004E7930"/>
    <w:rsid w:val="004F64BF"/>
    <w:rsid w:val="004F6B19"/>
    <w:rsid w:val="004F6B9D"/>
    <w:rsid w:val="004F6ECF"/>
    <w:rsid w:val="0050409B"/>
    <w:rsid w:val="00504675"/>
    <w:rsid w:val="0050738E"/>
    <w:rsid w:val="005077EF"/>
    <w:rsid w:val="00512F94"/>
    <w:rsid w:val="0051322E"/>
    <w:rsid w:val="00516A32"/>
    <w:rsid w:val="0052260A"/>
    <w:rsid w:val="0052389C"/>
    <w:rsid w:val="00527098"/>
    <w:rsid w:val="00530D77"/>
    <w:rsid w:val="00530EC4"/>
    <w:rsid w:val="0053220F"/>
    <w:rsid w:val="00532500"/>
    <w:rsid w:val="0053408F"/>
    <w:rsid w:val="00540D4B"/>
    <w:rsid w:val="00543531"/>
    <w:rsid w:val="00544A3C"/>
    <w:rsid w:val="00544FC9"/>
    <w:rsid w:val="0055001E"/>
    <w:rsid w:val="00557EF4"/>
    <w:rsid w:val="005600CA"/>
    <w:rsid w:val="00560ACA"/>
    <w:rsid w:val="00561534"/>
    <w:rsid w:val="0056168D"/>
    <w:rsid w:val="00562565"/>
    <w:rsid w:val="00565842"/>
    <w:rsid w:val="00565CEC"/>
    <w:rsid w:val="00571D95"/>
    <w:rsid w:val="00574072"/>
    <w:rsid w:val="00576D28"/>
    <w:rsid w:val="00577436"/>
    <w:rsid w:val="00581F95"/>
    <w:rsid w:val="005833C3"/>
    <w:rsid w:val="00586098"/>
    <w:rsid w:val="00590DEA"/>
    <w:rsid w:val="00591F36"/>
    <w:rsid w:val="005A0519"/>
    <w:rsid w:val="005A0B3C"/>
    <w:rsid w:val="005A10D3"/>
    <w:rsid w:val="005A1582"/>
    <w:rsid w:val="005A1B13"/>
    <w:rsid w:val="005A4C06"/>
    <w:rsid w:val="005A58F6"/>
    <w:rsid w:val="005A63C0"/>
    <w:rsid w:val="005A68F5"/>
    <w:rsid w:val="005B1FD9"/>
    <w:rsid w:val="005B5001"/>
    <w:rsid w:val="005C1F8F"/>
    <w:rsid w:val="005C27FC"/>
    <w:rsid w:val="005D109B"/>
    <w:rsid w:val="005D1BC7"/>
    <w:rsid w:val="005D3E66"/>
    <w:rsid w:val="005D401B"/>
    <w:rsid w:val="005D76B9"/>
    <w:rsid w:val="005D7BAF"/>
    <w:rsid w:val="005E129B"/>
    <w:rsid w:val="005E29E5"/>
    <w:rsid w:val="005E47ED"/>
    <w:rsid w:val="005E658A"/>
    <w:rsid w:val="005E7C9A"/>
    <w:rsid w:val="005F0299"/>
    <w:rsid w:val="005F2A4A"/>
    <w:rsid w:val="00600495"/>
    <w:rsid w:val="0060279C"/>
    <w:rsid w:val="00602AA7"/>
    <w:rsid w:val="0060314B"/>
    <w:rsid w:val="00603C12"/>
    <w:rsid w:val="00606D62"/>
    <w:rsid w:val="00607022"/>
    <w:rsid w:val="006125D7"/>
    <w:rsid w:val="006141B5"/>
    <w:rsid w:val="00614D39"/>
    <w:rsid w:val="00620DAE"/>
    <w:rsid w:val="00621915"/>
    <w:rsid w:val="00622239"/>
    <w:rsid w:val="00623AF7"/>
    <w:rsid w:val="00624F76"/>
    <w:rsid w:val="00626ABB"/>
    <w:rsid w:val="00631284"/>
    <w:rsid w:val="006323A3"/>
    <w:rsid w:val="00634C6A"/>
    <w:rsid w:val="00635509"/>
    <w:rsid w:val="00637391"/>
    <w:rsid w:val="00637844"/>
    <w:rsid w:val="00637C46"/>
    <w:rsid w:val="00642FD4"/>
    <w:rsid w:val="00646D04"/>
    <w:rsid w:val="006502B1"/>
    <w:rsid w:val="00653153"/>
    <w:rsid w:val="006553B7"/>
    <w:rsid w:val="00657C99"/>
    <w:rsid w:val="00660D84"/>
    <w:rsid w:val="00661311"/>
    <w:rsid w:val="0066337B"/>
    <w:rsid w:val="006643FC"/>
    <w:rsid w:val="00671148"/>
    <w:rsid w:val="00671F5F"/>
    <w:rsid w:val="0067209D"/>
    <w:rsid w:val="00673B3F"/>
    <w:rsid w:val="006748AF"/>
    <w:rsid w:val="00677DD3"/>
    <w:rsid w:val="006808DD"/>
    <w:rsid w:val="00680E80"/>
    <w:rsid w:val="00681046"/>
    <w:rsid w:val="00681B16"/>
    <w:rsid w:val="00683A73"/>
    <w:rsid w:val="00685E30"/>
    <w:rsid w:val="006875E6"/>
    <w:rsid w:val="00690A84"/>
    <w:rsid w:val="00691D8A"/>
    <w:rsid w:val="00696C2E"/>
    <w:rsid w:val="00697257"/>
    <w:rsid w:val="006A1822"/>
    <w:rsid w:val="006A45E7"/>
    <w:rsid w:val="006A707A"/>
    <w:rsid w:val="006B58FD"/>
    <w:rsid w:val="006B6761"/>
    <w:rsid w:val="006B73AE"/>
    <w:rsid w:val="006C0D15"/>
    <w:rsid w:val="006C394F"/>
    <w:rsid w:val="006C6EE0"/>
    <w:rsid w:val="006D00EB"/>
    <w:rsid w:val="006D0DE8"/>
    <w:rsid w:val="006D0ED1"/>
    <w:rsid w:val="006D1579"/>
    <w:rsid w:val="006D4654"/>
    <w:rsid w:val="006D68F3"/>
    <w:rsid w:val="006D7FD8"/>
    <w:rsid w:val="006E5302"/>
    <w:rsid w:val="006E6BEA"/>
    <w:rsid w:val="006E7556"/>
    <w:rsid w:val="006E7D33"/>
    <w:rsid w:val="006F2610"/>
    <w:rsid w:val="006F4F5B"/>
    <w:rsid w:val="006F513A"/>
    <w:rsid w:val="007015B9"/>
    <w:rsid w:val="00701A31"/>
    <w:rsid w:val="00702C58"/>
    <w:rsid w:val="007055D6"/>
    <w:rsid w:val="007058D8"/>
    <w:rsid w:val="00705BA0"/>
    <w:rsid w:val="00705BB4"/>
    <w:rsid w:val="00707BED"/>
    <w:rsid w:val="00711003"/>
    <w:rsid w:val="00711610"/>
    <w:rsid w:val="00713A39"/>
    <w:rsid w:val="007201E8"/>
    <w:rsid w:val="00720498"/>
    <w:rsid w:val="00720982"/>
    <w:rsid w:val="007210E6"/>
    <w:rsid w:val="00722A74"/>
    <w:rsid w:val="00724974"/>
    <w:rsid w:val="00724D86"/>
    <w:rsid w:val="00724F8E"/>
    <w:rsid w:val="00724F9D"/>
    <w:rsid w:val="007253C2"/>
    <w:rsid w:val="00725A6D"/>
    <w:rsid w:val="007304FF"/>
    <w:rsid w:val="00731D66"/>
    <w:rsid w:val="00731DCC"/>
    <w:rsid w:val="0073484B"/>
    <w:rsid w:val="007378CF"/>
    <w:rsid w:val="00744BB6"/>
    <w:rsid w:val="00745E98"/>
    <w:rsid w:val="00754DDB"/>
    <w:rsid w:val="00756950"/>
    <w:rsid w:val="00757CFD"/>
    <w:rsid w:val="00760559"/>
    <w:rsid w:val="0076285E"/>
    <w:rsid w:val="00764FC8"/>
    <w:rsid w:val="007664F4"/>
    <w:rsid w:val="00766661"/>
    <w:rsid w:val="00767717"/>
    <w:rsid w:val="007678AB"/>
    <w:rsid w:val="00770478"/>
    <w:rsid w:val="007704BE"/>
    <w:rsid w:val="00772884"/>
    <w:rsid w:val="007761AE"/>
    <w:rsid w:val="00776FFF"/>
    <w:rsid w:val="00777ADB"/>
    <w:rsid w:val="00780C19"/>
    <w:rsid w:val="0078105F"/>
    <w:rsid w:val="0078216B"/>
    <w:rsid w:val="007829D1"/>
    <w:rsid w:val="00782C45"/>
    <w:rsid w:val="0079281E"/>
    <w:rsid w:val="00793146"/>
    <w:rsid w:val="007A0902"/>
    <w:rsid w:val="007A3E57"/>
    <w:rsid w:val="007A6C18"/>
    <w:rsid w:val="007A70F6"/>
    <w:rsid w:val="007B385C"/>
    <w:rsid w:val="007B4C88"/>
    <w:rsid w:val="007B6D0A"/>
    <w:rsid w:val="007C1CB9"/>
    <w:rsid w:val="007C1E8D"/>
    <w:rsid w:val="007C2548"/>
    <w:rsid w:val="007C7585"/>
    <w:rsid w:val="007C7E0A"/>
    <w:rsid w:val="007D0808"/>
    <w:rsid w:val="007D1751"/>
    <w:rsid w:val="007D19DA"/>
    <w:rsid w:val="007D4B89"/>
    <w:rsid w:val="007D4D64"/>
    <w:rsid w:val="007E3BE2"/>
    <w:rsid w:val="007E6F84"/>
    <w:rsid w:val="007E71DD"/>
    <w:rsid w:val="007F10E8"/>
    <w:rsid w:val="007F1B62"/>
    <w:rsid w:val="007F4194"/>
    <w:rsid w:val="007F5C9B"/>
    <w:rsid w:val="008002EB"/>
    <w:rsid w:val="008006BD"/>
    <w:rsid w:val="008019C4"/>
    <w:rsid w:val="00811009"/>
    <w:rsid w:val="00811522"/>
    <w:rsid w:val="008147B1"/>
    <w:rsid w:val="00815E60"/>
    <w:rsid w:val="00821AED"/>
    <w:rsid w:val="00823780"/>
    <w:rsid w:val="00823884"/>
    <w:rsid w:val="00825313"/>
    <w:rsid w:val="00825B41"/>
    <w:rsid w:val="00826237"/>
    <w:rsid w:val="00826300"/>
    <w:rsid w:val="00826CE9"/>
    <w:rsid w:val="00826F6D"/>
    <w:rsid w:val="00833026"/>
    <w:rsid w:val="0083437D"/>
    <w:rsid w:val="0083534F"/>
    <w:rsid w:val="00836F84"/>
    <w:rsid w:val="00837BCC"/>
    <w:rsid w:val="00851D9D"/>
    <w:rsid w:val="00851F12"/>
    <w:rsid w:val="00853941"/>
    <w:rsid w:val="00855374"/>
    <w:rsid w:val="00856E62"/>
    <w:rsid w:val="008656BA"/>
    <w:rsid w:val="00875413"/>
    <w:rsid w:val="008842FA"/>
    <w:rsid w:val="00885A1E"/>
    <w:rsid w:val="00885EC6"/>
    <w:rsid w:val="00886584"/>
    <w:rsid w:val="008942C7"/>
    <w:rsid w:val="00894392"/>
    <w:rsid w:val="00896487"/>
    <w:rsid w:val="00896CEF"/>
    <w:rsid w:val="008A14C9"/>
    <w:rsid w:val="008A32EC"/>
    <w:rsid w:val="008A5DAF"/>
    <w:rsid w:val="008A6150"/>
    <w:rsid w:val="008B0525"/>
    <w:rsid w:val="008B0AFE"/>
    <w:rsid w:val="008B105B"/>
    <w:rsid w:val="008B3C02"/>
    <w:rsid w:val="008B5BA3"/>
    <w:rsid w:val="008B76C8"/>
    <w:rsid w:val="008C2E21"/>
    <w:rsid w:val="008C301C"/>
    <w:rsid w:val="008C426C"/>
    <w:rsid w:val="008C5F29"/>
    <w:rsid w:val="008C64D2"/>
    <w:rsid w:val="008C767C"/>
    <w:rsid w:val="008D15E1"/>
    <w:rsid w:val="008D1F5B"/>
    <w:rsid w:val="008D31F0"/>
    <w:rsid w:val="008D737A"/>
    <w:rsid w:val="008D7A2B"/>
    <w:rsid w:val="008E06D6"/>
    <w:rsid w:val="008E5547"/>
    <w:rsid w:val="008E7676"/>
    <w:rsid w:val="008F1E40"/>
    <w:rsid w:val="008F2028"/>
    <w:rsid w:val="008F3E7D"/>
    <w:rsid w:val="008F4514"/>
    <w:rsid w:val="00902233"/>
    <w:rsid w:val="00903175"/>
    <w:rsid w:val="00906769"/>
    <w:rsid w:val="0091166C"/>
    <w:rsid w:val="009133BD"/>
    <w:rsid w:val="00913843"/>
    <w:rsid w:val="00914FBF"/>
    <w:rsid w:val="00923B25"/>
    <w:rsid w:val="00924840"/>
    <w:rsid w:val="00927474"/>
    <w:rsid w:val="009379FC"/>
    <w:rsid w:val="00937A19"/>
    <w:rsid w:val="009400FE"/>
    <w:rsid w:val="00941472"/>
    <w:rsid w:val="00944389"/>
    <w:rsid w:val="009470B9"/>
    <w:rsid w:val="00947759"/>
    <w:rsid w:val="0095284E"/>
    <w:rsid w:val="00952E58"/>
    <w:rsid w:val="009562A2"/>
    <w:rsid w:val="009567CE"/>
    <w:rsid w:val="009601B7"/>
    <w:rsid w:val="00960242"/>
    <w:rsid w:val="0096477C"/>
    <w:rsid w:val="009649AF"/>
    <w:rsid w:val="009650B5"/>
    <w:rsid w:val="00966457"/>
    <w:rsid w:val="00966B3E"/>
    <w:rsid w:val="00967269"/>
    <w:rsid w:val="00971D40"/>
    <w:rsid w:val="009736FE"/>
    <w:rsid w:val="009740BE"/>
    <w:rsid w:val="00977693"/>
    <w:rsid w:val="00977A47"/>
    <w:rsid w:val="00980CCA"/>
    <w:rsid w:val="009812DD"/>
    <w:rsid w:val="00987101"/>
    <w:rsid w:val="00992267"/>
    <w:rsid w:val="0099573B"/>
    <w:rsid w:val="00996110"/>
    <w:rsid w:val="00997ED8"/>
    <w:rsid w:val="009A0194"/>
    <w:rsid w:val="009A555B"/>
    <w:rsid w:val="009B128D"/>
    <w:rsid w:val="009B2094"/>
    <w:rsid w:val="009B27C2"/>
    <w:rsid w:val="009B381D"/>
    <w:rsid w:val="009B619B"/>
    <w:rsid w:val="009B7883"/>
    <w:rsid w:val="009C1841"/>
    <w:rsid w:val="009C336B"/>
    <w:rsid w:val="009C35C6"/>
    <w:rsid w:val="009C4106"/>
    <w:rsid w:val="009C41F6"/>
    <w:rsid w:val="009C48CA"/>
    <w:rsid w:val="009C5846"/>
    <w:rsid w:val="009C68F2"/>
    <w:rsid w:val="009C7D5E"/>
    <w:rsid w:val="009D276B"/>
    <w:rsid w:val="009E1139"/>
    <w:rsid w:val="009E2239"/>
    <w:rsid w:val="009E5905"/>
    <w:rsid w:val="009E5D4F"/>
    <w:rsid w:val="009F0927"/>
    <w:rsid w:val="009F4AD8"/>
    <w:rsid w:val="00A005F9"/>
    <w:rsid w:val="00A05AFF"/>
    <w:rsid w:val="00A1604A"/>
    <w:rsid w:val="00A16C46"/>
    <w:rsid w:val="00A1772A"/>
    <w:rsid w:val="00A203F4"/>
    <w:rsid w:val="00A212E6"/>
    <w:rsid w:val="00A21D82"/>
    <w:rsid w:val="00A257BF"/>
    <w:rsid w:val="00A26F68"/>
    <w:rsid w:val="00A3039D"/>
    <w:rsid w:val="00A30496"/>
    <w:rsid w:val="00A316AC"/>
    <w:rsid w:val="00A32739"/>
    <w:rsid w:val="00A329DE"/>
    <w:rsid w:val="00A33E38"/>
    <w:rsid w:val="00A37EBE"/>
    <w:rsid w:val="00A460A7"/>
    <w:rsid w:val="00A54695"/>
    <w:rsid w:val="00A550C7"/>
    <w:rsid w:val="00A55A1C"/>
    <w:rsid w:val="00A56677"/>
    <w:rsid w:val="00A57B1F"/>
    <w:rsid w:val="00A6076A"/>
    <w:rsid w:val="00A621AA"/>
    <w:rsid w:val="00A62681"/>
    <w:rsid w:val="00A63302"/>
    <w:rsid w:val="00A6426B"/>
    <w:rsid w:val="00A655D3"/>
    <w:rsid w:val="00A668DD"/>
    <w:rsid w:val="00A66950"/>
    <w:rsid w:val="00A66F90"/>
    <w:rsid w:val="00A70D32"/>
    <w:rsid w:val="00A71580"/>
    <w:rsid w:val="00A717DB"/>
    <w:rsid w:val="00A718C5"/>
    <w:rsid w:val="00A71F28"/>
    <w:rsid w:val="00A73015"/>
    <w:rsid w:val="00A75C13"/>
    <w:rsid w:val="00A76D0C"/>
    <w:rsid w:val="00A81D0F"/>
    <w:rsid w:val="00A82F58"/>
    <w:rsid w:val="00A84609"/>
    <w:rsid w:val="00A8466D"/>
    <w:rsid w:val="00A947BF"/>
    <w:rsid w:val="00A94CA0"/>
    <w:rsid w:val="00A94EFC"/>
    <w:rsid w:val="00A977D4"/>
    <w:rsid w:val="00AA1079"/>
    <w:rsid w:val="00AA27F5"/>
    <w:rsid w:val="00AA2CB7"/>
    <w:rsid w:val="00AA3074"/>
    <w:rsid w:val="00AA59FF"/>
    <w:rsid w:val="00AA5C51"/>
    <w:rsid w:val="00AA5F9F"/>
    <w:rsid w:val="00AA6142"/>
    <w:rsid w:val="00AA672E"/>
    <w:rsid w:val="00AA682A"/>
    <w:rsid w:val="00AB3A27"/>
    <w:rsid w:val="00AB6F6B"/>
    <w:rsid w:val="00AC0A4A"/>
    <w:rsid w:val="00AC3023"/>
    <w:rsid w:val="00AC3480"/>
    <w:rsid w:val="00AC4C45"/>
    <w:rsid w:val="00AC58A5"/>
    <w:rsid w:val="00AC6C75"/>
    <w:rsid w:val="00AD062B"/>
    <w:rsid w:val="00AD1185"/>
    <w:rsid w:val="00AD28F6"/>
    <w:rsid w:val="00AD3488"/>
    <w:rsid w:val="00AE0B19"/>
    <w:rsid w:val="00AE1791"/>
    <w:rsid w:val="00AE191F"/>
    <w:rsid w:val="00AE1A9F"/>
    <w:rsid w:val="00AE44BD"/>
    <w:rsid w:val="00AE59C0"/>
    <w:rsid w:val="00AE5F86"/>
    <w:rsid w:val="00AE6A2C"/>
    <w:rsid w:val="00AE707F"/>
    <w:rsid w:val="00AF07C4"/>
    <w:rsid w:val="00AF0CD6"/>
    <w:rsid w:val="00AF5086"/>
    <w:rsid w:val="00AF7785"/>
    <w:rsid w:val="00B0004A"/>
    <w:rsid w:val="00B00F2C"/>
    <w:rsid w:val="00B0270F"/>
    <w:rsid w:val="00B05652"/>
    <w:rsid w:val="00B059F6"/>
    <w:rsid w:val="00B05BAE"/>
    <w:rsid w:val="00B067EB"/>
    <w:rsid w:val="00B154E6"/>
    <w:rsid w:val="00B1593D"/>
    <w:rsid w:val="00B16E8B"/>
    <w:rsid w:val="00B17BCC"/>
    <w:rsid w:val="00B23159"/>
    <w:rsid w:val="00B2319A"/>
    <w:rsid w:val="00B30342"/>
    <w:rsid w:val="00B30908"/>
    <w:rsid w:val="00B30CCB"/>
    <w:rsid w:val="00B3265B"/>
    <w:rsid w:val="00B326F4"/>
    <w:rsid w:val="00B34AC1"/>
    <w:rsid w:val="00B35B29"/>
    <w:rsid w:val="00B36007"/>
    <w:rsid w:val="00B42336"/>
    <w:rsid w:val="00B5289F"/>
    <w:rsid w:val="00B52F2E"/>
    <w:rsid w:val="00B52FA3"/>
    <w:rsid w:val="00B533DD"/>
    <w:rsid w:val="00B5360D"/>
    <w:rsid w:val="00B5560A"/>
    <w:rsid w:val="00B562A3"/>
    <w:rsid w:val="00B62170"/>
    <w:rsid w:val="00B64F64"/>
    <w:rsid w:val="00B66174"/>
    <w:rsid w:val="00B70C05"/>
    <w:rsid w:val="00B735C6"/>
    <w:rsid w:val="00B73A96"/>
    <w:rsid w:val="00B73D3D"/>
    <w:rsid w:val="00B7640C"/>
    <w:rsid w:val="00B76445"/>
    <w:rsid w:val="00B7728D"/>
    <w:rsid w:val="00B8016B"/>
    <w:rsid w:val="00B84E1A"/>
    <w:rsid w:val="00B850C8"/>
    <w:rsid w:val="00B860B3"/>
    <w:rsid w:val="00B87055"/>
    <w:rsid w:val="00B90C04"/>
    <w:rsid w:val="00B91445"/>
    <w:rsid w:val="00B9149F"/>
    <w:rsid w:val="00B9199F"/>
    <w:rsid w:val="00B922F5"/>
    <w:rsid w:val="00B9516D"/>
    <w:rsid w:val="00B9530C"/>
    <w:rsid w:val="00B96343"/>
    <w:rsid w:val="00B96D87"/>
    <w:rsid w:val="00BA02D0"/>
    <w:rsid w:val="00BA3882"/>
    <w:rsid w:val="00BA6E4B"/>
    <w:rsid w:val="00BA747B"/>
    <w:rsid w:val="00BA7CE6"/>
    <w:rsid w:val="00BB056C"/>
    <w:rsid w:val="00BB05D8"/>
    <w:rsid w:val="00BB1388"/>
    <w:rsid w:val="00BB1FB0"/>
    <w:rsid w:val="00BB309D"/>
    <w:rsid w:val="00BB5484"/>
    <w:rsid w:val="00BB54CF"/>
    <w:rsid w:val="00BB5F5B"/>
    <w:rsid w:val="00BC01ED"/>
    <w:rsid w:val="00BC1415"/>
    <w:rsid w:val="00BC16B1"/>
    <w:rsid w:val="00BC2699"/>
    <w:rsid w:val="00BC3A5A"/>
    <w:rsid w:val="00BD2AB7"/>
    <w:rsid w:val="00BD3792"/>
    <w:rsid w:val="00BD4DCB"/>
    <w:rsid w:val="00BD7316"/>
    <w:rsid w:val="00BD7E79"/>
    <w:rsid w:val="00BE3708"/>
    <w:rsid w:val="00BE42E1"/>
    <w:rsid w:val="00BE5CAE"/>
    <w:rsid w:val="00BE7175"/>
    <w:rsid w:val="00BE79C7"/>
    <w:rsid w:val="00BF003B"/>
    <w:rsid w:val="00BF4888"/>
    <w:rsid w:val="00C00C32"/>
    <w:rsid w:val="00C00DD1"/>
    <w:rsid w:val="00C0136E"/>
    <w:rsid w:val="00C029D5"/>
    <w:rsid w:val="00C0329A"/>
    <w:rsid w:val="00C0604B"/>
    <w:rsid w:val="00C060BC"/>
    <w:rsid w:val="00C07324"/>
    <w:rsid w:val="00C1055F"/>
    <w:rsid w:val="00C11D7B"/>
    <w:rsid w:val="00C15763"/>
    <w:rsid w:val="00C15C98"/>
    <w:rsid w:val="00C17012"/>
    <w:rsid w:val="00C171AE"/>
    <w:rsid w:val="00C17F55"/>
    <w:rsid w:val="00C208BC"/>
    <w:rsid w:val="00C22A11"/>
    <w:rsid w:val="00C2353D"/>
    <w:rsid w:val="00C25CA6"/>
    <w:rsid w:val="00C277F3"/>
    <w:rsid w:val="00C27935"/>
    <w:rsid w:val="00C27A2E"/>
    <w:rsid w:val="00C27FD6"/>
    <w:rsid w:val="00C31307"/>
    <w:rsid w:val="00C3333C"/>
    <w:rsid w:val="00C34B9A"/>
    <w:rsid w:val="00C34F1D"/>
    <w:rsid w:val="00C35029"/>
    <w:rsid w:val="00C351F8"/>
    <w:rsid w:val="00C40361"/>
    <w:rsid w:val="00C450FC"/>
    <w:rsid w:val="00C469BB"/>
    <w:rsid w:val="00C47032"/>
    <w:rsid w:val="00C5096B"/>
    <w:rsid w:val="00C54630"/>
    <w:rsid w:val="00C555A2"/>
    <w:rsid w:val="00C57410"/>
    <w:rsid w:val="00C62FDE"/>
    <w:rsid w:val="00C62FE1"/>
    <w:rsid w:val="00C64A34"/>
    <w:rsid w:val="00C653C9"/>
    <w:rsid w:val="00C66AD1"/>
    <w:rsid w:val="00C66DAB"/>
    <w:rsid w:val="00C676AE"/>
    <w:rsid w:val="00C7309D"/>
    <w:rsid w:val="00C7372C"/>
    <w:rsid w:val="00C73A25"/>
    <w:rsid w:val="00C73CB9"/>
    <w:rsid w:val="00C74A24"/>
    <w:rsid w:val="00C74C2E"/>
    <w:rsid w:val="00C75181"/>
    <w:rsid w:val="00C7598B"/>
    <w:rsid w:val="00C75D53"/>
    <w:rsid w:val="00C815A4"/>
    <w:rsid w:val="00C90278"/>
    <w:rsid w:val="00C92190"/>
    <w:rsid w:val="00CA1C7C"/>
    <w:rsid w:val="00CA4380"/>
    <w:rsid w:val="00CA55D6"/>
    <w:rsid w:val="00CA5BAA"/>
    <w:rsid w:val="00CA7EE0"/>
    <w:rsid w:val="00CA7F8C"/>
    <w:rsid w:val="00CA7FC5"/>
    <w:rsid w:val="00CB1715"/>
    <w:rsid w:val="00CB2067"/>
    <w:rsid w:val="00CB29D3"/>
    <w:rsid w:val="00CB306D"/>
    <w:rsid w:val="00CB30F2"/>
    <w:rsid w:val="00CB4F5C"/>
    <w:rsid w:val="00CB7003"/>
    <w:rsid w:val="00CC1931"/>
    <w:rsid w:val="00CC44AD"/>
    <w:rsid w:val="00CC5CCF"/>
    <w:rsid w:val="00CC6AD0"/>
    <w:rsid w:val="00CD16DF"/>
    <w:rsid w:val="00CD298B"/>
    <w:rsid w:val="00CD423A"/>
    <w:rsid w:val="00CD4A2B"/>
    <w:rsid w:val="00CD5395"/>
    <w:rsid w:val="00CD5AF6"/>
    <w:rsid w:val="00CD620C"/>
    <w:rsid w:val="00CD79D5"/>
    <w:rsid w:val="00CE1C85"/>
    <w:rsid w:val="00CE232A"/>
    <w:rsid w:val="00CE2702"/>
    <w:rsid w:val="00CE6299"/>
    <w:rsid w:val="00CE7A99"/>
    <w:rsid w:val="00CF0F04"/>
    <w:rsid w:val="00CF28DA"/>
    <w:rsid w:val="00CF2C02"/>
    <w:rsid w:val="00CF5B2F"/>
    <w:rsid w:val="00D006BA"/>
    <w:rsid w:val="00D038ED"/>
    <w:rsid w:val="00D049BF"/>
    <w:rsid w:val="00D053C3"/>
    <w:rsid w:val="00D170E2"/>
    <w:rsid w:val="00D17ED2"/>
    <w:rsid w:val="00D268EA"/>
    <w:rsid w:val="00D26B6C"/>
    <w:rsid w:val="00D30A3B"/>
    <w:rsid w:val="00D30FF8"/>
    <w:rsid w:val="00D315C6"/>
    <w:rsid w:val="00D32EFC"/>
    <w:rsid w:val="00D33B90"/>
    <w:rsid w:val="00D36346"/>
    <w:rsid w:val="00D3722D"/>
    <w:rsid w:val="00D40301"/>
    <w:rsid w:val="00D412A9"/>
    <w:rsid w:val="00D41A60"/>
    <w:rsid w:val="00D42C34"/>
    <w:rsid w:val="00D43D53"/>
    <w:rsid w:val="00D44889"/>
    <w:rsid w:val="00D4623F"/>
    <w:rsid w:val="00D4678B"/>
    <w:rsid w:val="00D46DF6"/>
    <w:rsid w:val="00D47E52"/>
    <w:rsid w:val="00D47F5F"/>
    <w:rsid w:val="00D50549"/>
    <w:rsid w:val="00D60BB7"/>
    <w:rsid w:val="00D62323"/>
    <w:rsid w:val="00D76B59"/>
    <w:rsid w:val="00D77610"/>
    <w:rsid w:val="00D77B95"/>
    <w:rsid w:val="00D83598"/>
    <w:rsid w:val="00D836C2"/>
    <w:rsid w:val="00D866F4"/>
    <w:rsid w:val="00D8726A"/>
    <w:rsid w:val="00D87CFD"/>
    <w:rsid w:val="00D90B68"/>
    <w:rsid w:val="00D915C7"/>
    <w:rsid w:val="00D922D6"/>
    <w:rsid w:val="00D9484B"/>
    <w:rsid w:val="00D94D90"/>
    <w:rsid w:val="00D9634E"/>
    <w:rsid w:val="00DA1327"/>
    <w:rsid w:val="00DA1637"/>
    <w:rsid w:val="00DB18D8"/>
    <w:rsid w:val="00DB19F5"/>
    <w:rsid w:val="00DB5899"/>
    <w:rsid w:val="00DC10CA"/>
    <w:rsid w:val="00DC5712"/>
    <w:rsid w:val="00DC7D0A"/>
    <w:rsid w:val="00DD0453"/>
    <w:rsid w:val="00DD3242"/>
    <w:rsid w:val="00DD3583"/>
    <w:rsid w:val="00DD43E4"/>
    <w:rsid w:val="00DD6038"/>
    <w:rsid w:val="00DE0825"/>
    <w:rsid w:val="00DE120F"/>
    <w:rsid w:val="00DE3D21"/>
    <w:rsid w:val="00DE4B5D"/>
    <w:rsid w:val="00DE58F5"/>
    <w:rsid w:val="00DE7AF0"/>
    <w:rsid w:val="00DF0706"/>
    <w:rsid w:val="00DF567C"/>
    <w:rsid w:val="00DF69F8"/>
    <w:rsid w:val="00E03ABB"/>
    <w:rsid w:val="00E0408F"/>
    <w:rsid w:val="00E04FB4"/>
    <w:rsid w:val="00E06EE9"/>
    <w:rsid w:val="00E079F1"/>
    <w:rsid w:val="00E154F7"/>
    <w:rsid w:val="00E15F2F"/>
    <w:rsid w:val="00E20A93"/>
    <w:rsid w:val="00E215F0"/>
    <w:rsid w:val="00E22A4E"/>
    <w:rsid w:val="00E23741"/>
    <w:rsid w:val="00E26A12"/>
    <w:rsid w:val="00E27CFB"/>
    <w:rsid w:val="00E27FA9"/>
    <w:rsid w:val="00E33650"/>
    <w:rsid w:val="00E36A9E"/>
    <w:rsid w:val="00E4356E"/>
    <w:rsid w:val="00E44AD9"/>
    <w:rsid w:val="00E47F75"/>
    <w:rsid w:val="00E50992"/>
    <w:rsid w:val="00E520B0"/>
    <w:rsid w:val="00E53A94"/>
    <w:rsid w:val="00E53B00"/>
    <w:rsid w:val="00E54DE9"/>
    <w:rsid w:val="00E55B46"/>
    <w:rsid w:val="00E5656F"/>
    <w:rsid w:val="00E56D2A"/>
    <w:rsid w:val="00E57EE6"/>
    <w:rsid w:val="00E60172"/>
    <w:rsid w:val="00E639BD"/>
    <w:rsid w:val="00E65512"/>
    <w:rsid w:val="00E671A7"/>
    <w:rsid w:val="00E71A2D"/>
    <w:rsid w:val="00E74145"/>
    <w:rsid w:val="00E80DC0"/>
    <w:rsid w:val="00E81E7E"/>
    <w:rsid w:val="00E8215C"/>
    <w:rsid w:val="00E8238C"/>
    <w:rsid w:val="00E823FE"/>
    <w:rsid w:val="00E82ED2"/>
    <w:rsid w:val="00E83107"/>
    <w:rsid w:val="00E85174"/>
    <w:rsid w:val="00E858D6"/>
    <w:rsid w:val="00E85D04"/>
    <w:rsid w:val="00E94B95"/>
    <w:rsid w:val="00E9523D"/>
    <w:rsid w:val="00E95EAE"/>
    <w:rsid w:val="00EA16F5"/>
    <w:rsid w:val="00EA1DC1"/>
    <w:rsid w:val="00EA2DC8"/>
    <w:rsid w:val="00EA56D6"/>
    <w:rsid w:val="00EA7610"/>
    <w:rsid w:val="00EB157D"/>
    <w:rsid w:val="00EB5213"/>
    <w:rsid w:val="00EB77B1"/>
    <w:rsid w:val="00EB7EE4"/>
    <w:rsid w:val="00EC34FF"/>
    <w:rsid w:val="00EC403A"/>
    <w:rsid w:val="00EC5568"/>
    <w:rsid w:val="00EC57AE"/>
    <w:rsid w:val="00EC7A99"/>
    <w:rsid w:val="00ED0B1D"/>
    <w:rsid w:val="00ED0F0D"/>
    <w:rsid w:val="00ED61F6"/>
    <w:rsid w:val="00ED683C"/>
    <w:rsid w:val="00ED6D65"/>
    <w:rsid w:val="00EE011D"/>
    <w:rsid w:val="00EE45A0"/>
    <w:rsid w:val="00EE665A"/>
    <w:rsid w:val="00EF129A"/>
    <w:rsid w:val="00EF143A"/>
    <w:rsid w:val="00EF228C"/>
    <w:rsid w:val="00EF711D"/>
    <w:rsid w:val="00F0266A"/>
    <w:rsid w:val="00F027F1"/>
    <w:rsid w:val="00F038E3"/>
    <w:rsid w:val="00F04E06"/>
    <w:rsid w:val="00F05681"/>
    <w:rsid w:val="00F0763E"/>
    <w:rsid w:val="00F146DC"/>
    <w:rsid w:val="00F16926"/>
    <w:rsid w:val="00F16DB5"/>
    <w:rsid w:val="00F2019F"/>
    <w:rsid w:val="00F201D6"/>
    <w:rsid w:val="00F2104F"/>
    <w:rsid w:val="00F2107B"/>
    <w:rsid w:val="00F22516"/>
    <w:rsid w:val="00F22EF6"/>
    <w:rsid w:val="00F2300C"/>
    <w:rsid w:val="00F24FB0"/>
    <w:rsid w:val="00F26D73"/>
    <w:rsid w:val="00F32A0A"/>
    <w:rsid w:val="00F34114"/>
    <w:rsid w:val="00F3491C"/>
    <w:rsid w:val="00F35039"/>
    <w:rsid w:val="00F3778D"/>
    <w:rsid w:val="00F41333"/>
    <w:rsid w:val="00F420E3"/>
    <w:rsid w:val="00F42623"/>
    <w:rsid w:val="00F464C4"/>
    <w:rsid w:val="00F471CA"/>
    <w:rsid w:val="00F47DDF"/>
    <w:rsid w:val="00F5085E"/>
    <w:rsid w:val="00F52C71"/>
    <w:rsid w:val="00F53FF4"/>
    <w:rsid w:val="00F54145"/>
    <w:rsid w:val="00F55436"/>
    <w:rsid w:val="00F55AFD"/>
    <w:rsid w:val="00F55D18"/>
    <w:rsid w:val="00F60436"/>
    <w:rsid w:val="00F618E5"/>
    <w:rsid w:val="00F6342E"/>
    <w:rsid w:val="00F634B1"/>
    <w:rsid w:val="00F65097"/>
    <w:rsid w:val="00F650E2"/>
    <w:rsid w:val="00F66746"/>
    <w:rsid w:val="00F70799"/>
    <w:rsid w:val="00F708DD"/>
    <w:rsid w:val="00F7280F"/>
    <w:rsid w:val="00F75346"/>
    <w:rsid w:val="00F760EC"/>
    <w:rsid w:val="00F838D4"/>
    <w:rsid w:val="00F86056"/>
    <w:rsid w:val="00F86C30"/>
    <w:rsid w:val="00F90681"/>
    <w:rsid w:val="00F9120A"/>
    <w:rsid w:val="00F92094"/>
    <w:rsid w:val="00F93B9D"/>
    <w:rsid w:val="00F95D93"/>
    <w:rsid w:val="00FA1F21"/>
    <w:rsid w:val="00FA3300"/>
    <w:rsid w:val="00FA7031"/>
    <w:rsid w:val="00FA707E"/>
    <w:rsid w:val="00FB4BFA"/>
    <w:rsid w:val="00FC20D6"/>
    <w:rsid w:val="00FC28D8"/>
    <w:rsid w:val="00FC2EFF"/>
    <w:rsid w:val="00FC3078"/>
    <w:rsid w:val="00FC3EA4"/>
    <w:rsid w:val="00FC6673"/>
    <w:rsid w:val="00FC6965"/>
    <w:rsid w:val="00FC73A1"/>
    <w:rsid w:val="00FC778C"/>
    <w:rsid w:val="00FD28DE"/>
    <w:rsid w:val="00FD2C97"/>
    <w:rsid w:val="00FD540C"/>
    <w:rsid w:val="00FD6E5C"/>
    <w:rsid w:val="00FE0183"/>
    <w:rsid w:val="00FE0FF8"/>
    <w:rsid w:val="00FE3106"/>
    <w:rsid w:val="00FE3609"/>
    <w:rsid w:val="00FE373C"/>
    <w:rsid w:val="00FE7E77"/>
    <w:rsid w:val="00FF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BD0EBA5"/>
  <w15:docId w15:val="{061B922C-A583-4514-8D46-25D4071C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7EF"/>
  </w:style>
  <w:style w:type="paragraph" w:styleId="Heading1">
    <w:name w:val="heading 1"/>
    <w:basedOn w:val="Normal"/>
    <w:next w:val="Normal"/>
    <w:link w:val="Heading1Char"/>
    <w:uiPriority w:val="9"/>
    <w:qFormat/>
    <w:rsid w:val="005E6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5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65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45C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445C5"/>
    <w:rPr>
      <w:rFonts w:eastAsiaTheme="minorEastAsia"/>
      <w:lang w:eastAsia="ja-JP"/>
    </w:rPr>
  </w:style>
  <w:style w:type="paragraph" w:styleId="BalloonText">
    <w:name w:val="Balloon Text"/>
    <w:basedOn w:val="Normal"/>
    <w:link w:val="BalloonTextChar"/>
    <w:uiPriority w:val="99"/>
    <w:semiHidden/>
    <w:unhideWhenUsed/>
    <w:rsid w:val="0034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C5"/>
    <w:rPr>
      <w:rFonts w:ascii="Tahoma" w:hAnsi="Tahoma" w:cs="Tahoma"/>
      <w:sz w:val="16"/>
      <w:szCs w:val="16"/>
    </w:rPr>
  </w:style>
  <w:style w:type="paragraph" w:styleId="Title">
    <w:name w:val="Title"/>
    <w:basedOn w:val="Normal"/>
    <w:next w:val="Normal"/>
    <w:link w:val="TitleChar"/>
    <w:uiPriority w:val="10"/>
    <w:qFormat/>
    <w:rsid w:val="005E6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5E658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5E658A"/>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E658A"/>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5E65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E658A"/>
    <w:pPr>
      <w:outlineLvl w:val="9"/>
    </w:pPr>
    <w:rPr>
      <w:lang w:eastAsia="ja-JP"/>
    </w:rPr>
  </w:style>
  <w:style w:type="character" w:customStyle="1" w:styleId="Heading2Char">
    <w:name w:val="Heading 2 Char"/>
    <w:basedOn w:val="DefaultParagraphFont"/>
    <w:link w:val="Heading2"/>
    <w:uiPriority w:val="9"/>
    <w:rsid w:val="005E65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5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658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6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0C"/>
  </w:style>
  <w:style w:type="paragraph" w:styleId="Footer">
    <w:name w:val="footer"/>
    <w:basedOn w:val="Normal"/>
    <w:link w:val="FooterChar"/>
    <w:uiPriority w:val="99"/>
    <w:unhideWhenUsed/>
    <w:rsid w:val="00CD6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0C"/>
  </w:style>
  <w:style w:type="paragraph" w:customStyle="1" w:styleId="1908B561879E4FA493D43F06B79E341D">
    <w:name w:val="1908B561879E4FA493D43F06B79E341D"/>
    <w:rsid w:val="00CD620C"/>
    <w:rPr>
      <w:rFonts w:eastAsiaTheme="minorEastAsia"/>
      <w:lang w:eastAsia="ja-JP"/>
    </w:rPr>
  </w:style>
  <w:style w:type="paragraph" w:styleId="TOC1">
    <w:name w:val="toc 1"/>
    <w:basedOn w:val="Normal"/>
    <w:next w:val="Normal"/>
    <w:autoRedefine/>
    <w:uiPriority w:val="39"/>
    <w:unhideWhenUsed/>
    <w:rsid w:val="00560ACA"/>
    <w:pPr>
      <w:tabs>
        <w:tab w:val="left" w:pos="440"/>
        <w:tab w:val="right" w:leader="dot" w:pos="9350"/>
      </w:tabs>
      <w:spacing w:after="100"/>
    </w:pPr>
  </w:style>
  <w:style w:type="paragraph" w:styleId="TOC2">
    <w:name w:val="toc 2"/>
    <w:basedOn w:val="Normal"/>
    <w:next w:val="Normal"/>
    <w:autoRedefine/>
    <w:uiPriority w:val="39"/>
    <w:unhideWhenUsed/>
    <w:rsid w:val="00491B98"/>
    <w:pPr>
      <w:tabs>
        <w:tab w:val="right" w:leader="dot" w:pos="9350"/>
      </w:tabs>
      <w:spacing w:after="100"/>
      <w:ind w:left="220"/>
    </w:pPr>
  </w:style>
  <w:style w:type="character" w:styleId="Hyperlink">
    <w:name w:val="Hyperlink"/>
    <w:basedOn w:val="DefaultParagraphFont"/>
    <w:uiPriority w:val="99"/>
    <w:unhideWhenUsed/>
    <w:rsid w:val="00CB4F5C"/>
    <w:rPr>
      <w:color w:val="0000FF" w:themeColor="hyperlink"/>
      <w:u w:val="single"/>
    </w:rPr>
  </w:style>
  <w:style w:type="paragraph" w:styleId="ListParagraph">
    <w:name w:val="List Paragraph"/>
    <w:basedOn w:val="Normal"/>
    <w:uiPriority w:val="34"/>
    <w:qFormat/>
    <w:rsid w:val="003C5FAC"/>
    <w:pPr>
      <w:ind w:left="720"/>
      <w:contextualSpacing/>
    </w:pPr>
  </w:style>
  <w:style w:type="paragraph" w:styleId="FootnoteText">
    <w:name w:val="footnote text"/>
    <w:basedOn w:val="Normal"/>
    <w:link w:val="FootnoteTextChar"/>
    <w:uiPriority w:val="99"/>
    <w:unhideWhenUsed/>
    <w:rsid w:val="00476B63"/>
    <w:pPr>
      <w:spacing w:after="0" w:line="240" w:lineRule="auto"/>
    </w:pPr>
    <w:rPr>
      <w:sz w:val="20"/>
      <w:szCs w:val="20"/>
    </w:rPr>
  </w:style>
  <w:style w:type="character" w:customStyle="1" w:styleId="FootnoteTextChar">
    <w:name w:val="Footnote Text Char"/>
    <w:basedOn w:val="DefaultParagraphFont"/>
    <w:link w:val="FootnoteText"/>
    <w:uiPriority w:val="99"/>
    <w:rsid w:val="00476B63"/>
    <w:rPr>
      <w:sz w:val="20"/>
      <w:szCs w:val="20"/>
    </w:rPr>
  </w:style>
  <w:style w:type="character" w:styleId="FootnoteReference">
    <w:name w:val="footnote reference"/>
    <w:basedOn w:val="DefaultParagraphFont"/>
    <w:uiPriority w:val="99"/>
    <w:semiHidden/>
    <w:unhideWhenUsed/>
    <w:rsid w:val="00476B63"/>
    <w:rPr>
      <w:vertAlign w:val="superscript"/>
    </w:rPr>
  </w:style>
  <w:style w:type="character" w:styleId="CommentReference">
    <w:name w:val="annotation reference"/>
    <w:basedOn w:val="DefaultParagraphFont"/>
    <w:uiPriority w:val="99"/>
    <w:semiHidden/>
    <w:unhideWhenUsed/>
    <w:rsid w:val="000C064D"/>
    <w:rPr>
      <w:sz w:val="16"/>
      <w:szCs w:val="16"/>
    </w:rPr>
  </w:style>
  <w:style w:type="paragraph" w:styleId="CommentText">
    <w:name w:val="annotation text"/>
    <w:basedOn w:val="Normal"/>
    <w:link w:val="CommentTextChar"/>
    <w:uiPriority w:val="99"/>
    <w:unhideWhenUsed/>
    <w:rsid w:val="000C064D"/>
    <w:pPr>
      <w:spacing w:line="240" w:lineRule="auto"/>
    </w:pPr>
    <w:rPr>
      <w:sz w:val="20"/>
      <w:szCs w:val="20"/>
    </w:rPr>
  </w:style>
  <w:style w:type="character" w:customStyle="1" w:styleId="CommentTextChar">
    <w:name w:val="Comment Text Char"/>
    <w:basedOn w:val="DefaultParagraphFont"/>
    <w:link w:val="CommentText"/>
    <w:uiPriority w:val="99"/>
    <w:rsid w:val="000C064D"/>
    <w:rPr>
      <w:sz w:val="20"/>
      <w:szCs w:val="20"/>
    </w:rPr>
  </w:style>
  <w:style w:type="paragraph" w:styleId="CommentSubject">
    <w:name w:val="annotation subject"/>
    <w:basedOn w:val="CommentText"/>
    <w:next w:val="CommentText"/>
    <w:link w:val="CommentSubjectChar"/>
    <w:uiPriority w:val="99"/>
    <w:semiHidden/>
    <w:unhideWhenUsed/>
    <w:rsid w:val="000C064D"/>
    <w:rPr>
      <w:b/>
      <w:bCs/>
    </w:rPr>
  </w:style>
  <w:style w:type="character" w:customStyle="1" w:styleId="CommentSubjectChar">
    <w:name w:val="Comment Subject Char"/>
    <w:basedOn w:val="CommentTextChar"/>
    <w:link w:val="CommentSubject"/>
    <w:uiPriority w:val="99"/>
    <w:semiHidden/>
    <w:rsid w:val="000C064D"/>
    <w:rPr>
      <w:b/>
      <w:bCs/>
      <w:sz w:val="20"/>
      <w:szCs w:val="20"/>
    </w:rPr>
  </w:style>
  <w:style w:type="table" w:styleId="GridTable4-Accent1">
    <w:name w:val="Grid Table 4 Accent 1"/>
    <w:basedOn w:val="TableNormal"/>
    <w:uiPriority w:val="49"/>
    <w:rsid w:val="00A212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90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0223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2-Accent1">
    <w:name w:val="Grid Table 2 Accent 1"/>
    <w:basedOn w:val="TableNormal"/>
    <w:uiPriority w:val="47"/>
    <w:rsid w:val="0090223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5430">
      <w:bodyDiv w:val="1"/>
      <w:marLeft w:val="0"/>
      <w:marRight w:val="0"/>
      <w:marTop w:val="0"/>
      <w:marBottom w:val="0"/>
      <w:divBdr>
        <w:top w:val="none" w:sz="0" w:space="0" w:color="auto"/>
        <w:left w:val="none" w:sz="0" w:space="0" w:color="auto"/>
        <w:bottom w:val="none" w:sz="0" w:space="0" w:color="auto"/>
        <w:right w:val="none" w:sz="0" w:space="0" w:color="auto"/>
      </w:divBdr>
    </w:div>
    <w:div w:id="763888897">
      <w:bodyDiv w:val="1"/>
      <w:marLeft w:val="0"/>
      <w:marRight w:val="0"/>
      <w:marTop w:val="0"/>
      <w:marBottom w:val="0"/>
      <w:divBdr>
        <w:top w:val="none" w:sz="0" w:space="0" w:color="auto"/>
        <w:left w:val="none" w:sz="0" w:space="0" w:color="auto"/>
        <w:bottom w:val="none" w:sz="0" w:space="0" w:color="auto"/>
        <w:right w:val="none" w:sz="0" w:space="0" w:color="auto"/>
      </w:divBdr>
    </w:div>
    <w:div w:id="950743712">
      <w:bodyDiv w:val="1"/>
      <w:marLeft w:val="0"/>
      <w:marRight w:val="0"/>
      <w:marTop w:val="0"/>
      <w:marBottom w:val="0"/>
      <w:divBdr>
        <w:top w:val="none" w:sz="0" w:space="0" w:color="auto"/>
        <w:left w:val="none" w:sz="0" w:space="0" w:color="auto"/>
        <w:bottom w:val="none" w:sz="0" w:space="0" w:color="auto"/>
        <w:right w:val="none" w:sz="0" w:space="0" w:color="auto"/>
      </w:divBdr>
    </w:div>
    <w:div w:id="1199005221">
      <w:bodyDiv w:val="1"/>
      <w:marLeft w:val="0"/>
      <w:marRight w:val="0"/>
      <w:marTop w:val="0"/>
      <w:marBottom w:val="0"/>
      <w:divBdr>
        <w:top w:val="none" w:sz="0" w:space="0" w:color="auto"/>
        <w:left w:val="none" w:sz="0" w:space="0" w:color="auto"/>
        <w:bottom w:val="none" w:sz="0" w:space="0" w:color="auto"/>
        <w:right w:val="none" w:sz="0" w:space="0" w:color="auto"/>
      </w:divBdr>
    </w:div>
    <w:div w:id="1250699089">
      <w:bodyDiv w:val="1"/>
      <w:marLeft w:val="0"/>
      <w:marRight w:val="0"/>
      <w:marTop w:val="0"/>
      <w:marBottom w:val="0"/>
      <w:divBdr>
        <w:top w:val="none" w:sz="0" w:space="0" w:color="auto"/>
        <w:left w:val="none" w:sz="0" w:space="0" w:color="auto"/>
        <w:bottom w:val="none" w:sz="0" w:space="0" w:color="auto"/>
        <w:right w:val="none" w:sz="0" w:space="0" w:color="auto"/>
      </w:divBdr>
    </w:div>
    <w:div w:id="2074425652">
      <w:bodyDiv w:val="1"/>
      <w:marLeft w:val="0"/>
      <w:marRight w:val="0"/>
      <w:marTop w:val="0"/>
      <w:marBottom w:val="0"/>
      <w:divBdr>
        <w:top w:val="none" w:sz="0" w:space="0" w:color="auto"/>
        <w:left w:val="none" w:sz="0" w:space="0" w:color="auto"/>
        <w:bottom w:val="none" w:sz="0" w:space="0" w:color="auto"/>
        <w:right w:val="none" w:sz="0" w:space="0" w:color="auto"/>
      </w:divBdr>
    </w:div>
    <w:div w:id="2090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cid:image001.png@01D9204A.BDC36BF0" TargetMode="External"/><Relationship Id="rId28"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chart" Target="charts/chart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dnssabfs\shared$\Shared%20Finance%20Management\Budget\2024\Corporate%20Services%20and%20Board\2024%20Corporate%20Services%20&amp;%20Board%20Budget%20FINA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v-dnssabfs\shared$\Shared%20Finance%20Management\Budget\2024\Corporate%20Services%20and%20Board\2024%20Corporate%20Services%20&amp;%20Board%20Budget%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dnssabfs\shared$\Shared%20Finance%20Management\Budget\2024\DSSAB%20Comparisons%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'BUDGET PRESENTATION CS'!$H$44</c:f>
              <c:strCache>
                <c:ptCount val="1"/>
                <c:pt idx="0">
                  <c:v>2023</c:v>
                </c:pt>
              </c:strCache>
            </c:strRef>
          </c:tx>
          <c:dPt>
            <c:idx val="0"/>
            <c:bubble3D val="0"/>
            <c:spPr>
              <a:gradFill rotWithShape="1">
                <a:gsLst>
                  <a:gs pos="0">
                    <a:schemeClr val="accent1">
                      <a:shade val="63000"/>
                    </a:schemeClr>
                  </a:gs>
                  <a:gs pos="30000">
                    <a:schemeClr val="accent1">
                      <a:shade val="90000"/>
                      <a:satMod val="110000"/>
                    </a:schemeClr>
                  </a:gs>
                  <a:gs pos="45000">
                    <a:schemeClr val="accent1">
                      <a:shade val="100000"/>
                      <a:satMod val="118000"/>
                    </a:schemeClr>
                  </a:gs>
                  <a:gs pos="55000">
                    <a:schemeClr val="accent1">
                      <a:shade val="100000"/>
                      <a:satMod val="118000"/>
                    </a:schemeClr>
                  </a:gs>
                  <a:gs pos="73000">
                    <a:schemeClr val="accent1">
                      <a:shade val="90000"/>
                      <a:satMod val="110000"/>
                    </a:schemeClr>
                  </a:gs>
                  <a:gs pos="100000">
                    <a:schemeClr val="accent1">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1-DDDC-4E52-B412-356BFEF50E94}"/>
              </c:ext>
            </c:extLst>
          </c:dPt>
          <c:dPt>
            <c:idx val="1"/>
            <c:bubble3D val="0"/>
            <c:spPr>
              <a:gradFill rotWithShape="1">
                <a:gsLst>
                  <a:gs pos="0">
                    <a:schemeClr val="accent2">
                      <a:shade val="63000"/>
                    </a:schemeClr>
                  </a:gs>
                  <a:gs pos="30000">
                    <a:schemeClr val="accent2">
                      <a:shade val="90000"/>
                      <a:satMod val="110000"/>
                    </a:schemeClr>
                  </a:gs>
                  <a:gs pos="45000">
                    <a:schemeClr val="accent2">
                      <a:shade val="100000"/>
                      <a:satMod val="118000"/>
                    </a:schemeClr>
                  </a:gs>
                  <a:gs pos="55000">
                    <a:schemeClr val="accent2">
                      <a:shade val="100000"/>
                      <a:satMod val="118000"/>
                    </a:schemeClr>
                  </a:gs>
                  <a:gs pos="73000">
                    <a:schemeClr val="accent2">
                      <a:shade val="90000"/>
                      <a:satMod val="110000"/>
                    </a:schemeClr>
                  </a:gs>
                  <a:gs pos="100000">
                    <a:schemeClr val="accent2">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3-DDDC-4E52-B412-356BFEF50E94}"/>
              </c:ext>
            </c:extLst>
          </c:dPt>
          <c:dPt>
            <c:idx val="2"/>
            <c:bubble3D val="0"/>
            <c:spPr>
              <a:gradFill rotWithShape="1">
                <a:gsLst>
                  <a:gs pos="0">
                    <a:schemeClr val="accent3">
                      <a:shade val="63000"/>
                    </a:schemeClr>
                  </a:gs>
                  <a:gs pos="30000">
                    <a:schemeClr val="accent3">
                      <a:shade val="90000"/>
                      <a:satMod val="110000"/>
                    </a:schemeClr>
                  </a:gs>
                  <a:gs pos="45000">
                    <a:schemeClr val="accent3">
                      <a:shade val="100000"/>
                      <a:satMod val="118000"/>
                    </a:schemeClr>
                  </a:gs>
                  <a:gs pos="55000">
                    <a:schemeClr val="accent3">
                      <a:shade val="100000"/>
                      <a:satMod val="118000"/>
                    </a:schemeClr>
                  </a:gs>
                  <a:gs pos="73000">
                    <a:schemeClr val="accent3">
                      <a:shade val="90000"/>
                      <a:satMod val="110000"/>
                    </a:schemeClr>
                  </a:gs>
                  <a:gs pos="100000">
                    <a:schemeClr val="accent3">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5-DDDC-4E52-B412-356BFEF50E94}"/>
              </c:ext>
            </c:extLst>
          </c:dPt>
          <c:dPt>
            <c:idx val="3"/>
            <c:bubble3D val="0"/>
            <c:spPr>
              <a:gradFill rotWithShape="1">
                <a:gsLst>
                  <a:gs pos="0">
                    <a:schemeClr val="accent4">
                      <a:shade val="63000"/>
                    </a:schemeClr>
                  </a:gs>
                  <a:gs pos="30000">
                    <a:schemeClr val="accent4">
                      <a:shade val="90000"/>
                      <a:satMod val="110000"/>
                    </a:schemeClr>
                  </a:gs>
                  <a:gs pos="45000">
                    <a:schemeClr val="accent4">
                      <a:shade val="100000"/>
                      <a:satMod val="118000"/>
                    </a:schemeClr>
                  </a:gs>
                  <a:gs pos="55000">
                    <a:schemeClr val="accent4">
                      <a:shade val="100000"/>
                      <a:satMod val="118000"/>
                    </a:schemeClr>
                  </a:gs>
                  <a:gs pos="73000">
                    <a:schemeClr val="accent4">
                      <a:shade val="90000"/>
                      <a:satMod val="110000"/>
                    </a:schemeClr>
                  </a:gs>
                  <a:gs pos="100000">
                    <a:schemeClr val="accent4">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7-DDDC-4E52-B412-356BFEF50E94}"/>
              </c:ext>
            </c:extLst>
          </c:dPt>
          <c:dPt>
            <c:idx val="4"/>
            <c:bubble3D val="0"/>
            <c:spPr>
              <a:gradFill rotWithShape="1">
                <a:gsLst>
                  <a:gs pos="0">
                    <a:schemeClr val="accent5">
                      <a:shade val="63000"/>
                    </a:schemeClr>
                  </a:gs>
                  <a:gs pos="30000">
                    <a:schemeClr val="accent5">
                      <a:shade val="90000"/>
                      <a:satMod val="110000"/>
                    </a:schemeClr>
                  </a:gs>
                  <a:gs pos="45000">
                    <a:schemeClr val="accent5">
                      <a:shade val="100000"/>
                      <a:satMod val="118000"/>
                    </a:schemeClr>
                  </a:gs>
                  <a:gs pos="55000">
                    <a:schemeClr val="accent5">
                      <a:shade val="100000"/>
                      <a:satMod val="118000"/>
                    </a:schemeClr>
                  </a:gs>
                  <a:gs pos="73000">
                    <a:schemeClr val="accent5">
                      <a:shade val="90000"/>
                      <a:satMod val="110000"/>
                    </a:schemeClr>
                  </a:gs>
                  <a:gs pos="100000">
                    <a:schemeClr val="accent5">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9-DDDC-4E52-B412-356BFEF50E94}"/>
              </c:ext>
            </c:extLst>
          </c:dPt>
          <c:dPt>
            <c:idx val="5"/>
            <c:bubble3D val="0"/>
            <c:spPr>
              <a:gradFill rotWithShape="1">
                <a:gsLst>
                  <a:gs pos="0">
                    <a:schemeClr val="accent6">
                      <a:shade val="63000"/>
                    </a:schemeClr>
                  </a:gs>
                  <a:gs pos="30000">
                    <a:schemeClr val="accent6">
                      <a:shade val="90000"/>
                      <a:satMod val="110000"/>
                    </a:schemeClr>
                  </a:gs>
                  <a:gs pos="45000">
                    <a:schemeClr val="accent6">
                      <a:shade val="100000"/>
                      <a:satMod val="118000"/>
                    </a:schemeClr>
                  </a:gs>
                  <a:gs pos="55000">
                    <a:schemeClr val="accent6">
                      <a:shade val="100000"/>
                      <a:satMod val="118000"/>
                    </a:schemeClr>
                  </a:gs>
                  <a:gs pos="73000">
                    <a:schemeClr val="accent6">
                      <a:shade val="90000"/>
                      <a:satMod val="110000"/>
                    </a:schemeClr>
                  </a:gs>
                  <a:gs pos="100000">
                    <a:schemeClr val="accent6">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B-DDDC-4E52-B412-356BFEF50E94}"/>
              </c:ext>
            </c:extLst>
          </c:dPt>
          <c:dLbls>
            <c:dLbl>
              <c:idx val="0"/>
              <c:dLblPos val="ctr"/>
              <c:showLegendKey val="0"/>
              <c:showVal val="0"/>
              <c:showCatName val="1"/>
              <c:showSerName val="0"/>
              <c:showPercent val="1"/>
              <c:showBubbleSize val="0"/>
              <c:extLst>
                <c:ext xmlns:c15="http://schemas.microsoft.com/office/drawing/2012/chart" uri="{CE6537A1-D6FC-4f65-9D91-7224C49458BB}">
                  <c15:layout>
                    <c:manualLayout>
                      <c:w val="0.283727228038128"/>
                      <c:h val="0.14294322132097334"/>
                    </c:manualLayout>
                  </c15:layout>
                </c:ext>
                <c:ext xmlns:c16="http://schemas.microsoft.com/office/drawing/2014/chart" uri="{C3380CC4-5D6E-409C-BE32-E72D297353CC}">
                  <c16:uniqueId val="{00000001-DDDC-4E52-B412-356BFEF50E94}"/>
                </c:ext>
              </c:extLst>
            </c:dLbl>
            <c:dLbl>
              <c:idx val="1"/>
              <c:layout>
                <c:manualLayout>
                  <c:x val="1.6108717847284216E-3"/>
                  <c:y val="-3.322232461382651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DC-4E52-B412-356BFEF50E94}"/>
                </c:ext>
              </c:extLst>
            </c:dLbl>
            <c:dLbl>
              <c:idx val="2"/>
              <c:layout>
                <c:manualLayout>
                  <c:x val="0"/>
                  <c:y val="-8.267041359111687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9577037077975154"/>
                      <c:h val="0.14294322132097334"/>
                    </c:manualLayout>
                  </c15:layout>
                </c:ext>
                <c:ext xmlns:c16="http://schemas.microsoft.com/office/drawing/2014/chart" uri="{C3380CC4-5D6E-409C-BE32-E72D297353CC}">
                  <c16:uniqueId val="{00000005-DDDC-4E52-B412-356BFEF50E94}"/>
                </c:ext>
              </c:extLst>
            </c:dLbl>
            <c:dLbl>
              <c:idx val="3"/>
              <c:layout>
                <c:manualLayout>
                  <c:x val="7.7448376765981444E-2"/>
                  <c:y val="-4.939516975210084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DC-4E52-B412-356BFEF50E94}"/>
                </c:ext>
              </c:extLst>
            </c:dLbl>
            <c:dLbl>
              <c:idx val="4"/>
              <c:layout>
                <c:manualLayout>
                  <c:x val="0.13947712114116501"/>
                  <c:y val="3.220262588844992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261189275980324"/>
                      <c:h val="0.14294322132097334"/>
                    </c:manualLayout>
                  </c15:layout>
                </c:ext>
                <c:ext xmlns:c16="http://schemas.microsoft.com/office/drawing/2014/chart" uri="{C3380CC4-5D6E-409C-BE32-E72D297353CC}">
                  <c16:uniqueId val="{00000009-DDDC-4E52-B412-356BFEF50E9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'BUDGET PRESENTATION CS'!$B$45:$G$49</c:f>
              <c:strCache>
                <c:ptCount val="5"/>
                <c:pt idx="0">
                  <c:v>Salaries and Benefits</c:v>
                </c:pt>
                <c:pt idx="1">
                  <c:v>General Office</c:v>
                </c:pt>
                <c:pt idx="2">
                  <c:v>Professional Fees</c:v>
                </c:pt>
                <c:pt idx="3">
                  <c:v>Technology</c:v>
                </c:pt>
                <c:pt idx="4">
                  <c:v>Accomodations</c:v>
                </c:pt>
              </c:strCache>
            </c:strRef>
          </c:cat>
          <c:val>
            <c:numRef>
              <c:f>'BUDGET PRESENTATION CS'!$H$45:$H$49</c:f>
              <c:numCache>
                <c:formatCode>_(* #,##0_);_(* \(#,##0\);_(* "-"??_);_(@_)</c:formatCode>
                <c:ptCount val="5"/>
                <c:pt idx="0">
                  <c:v>2183067</c:v>
                </c:pt>
                <c:pt idx="1">
                  <c:v>309961</c:v>
                </c:pt>
                <c:pt idx="2">
                  <c:v>79931</c:v>
                </c:pt>
                <c:pt idx="3">
                  <c:v>463792</c:v>
                </c:pt>
                <c:pt idx="4">
                  <c:v>465283</c:v>
                </c:pt>
              </c:numCache>
            </c:numRef>
          </c:val>
          <c:extLst>
            <c:ext xmlns:c16="http://schemas.microsoft.com/office/drawing/2014/chart" uri="{C3380CC4-5D6E-409C-BE32-E72D297353CC}">
              <c16:uniqueId val="{0000000C-DDDC-4E52-B412-356BFEF50E94}"/>
            </c:ext>
          </c:extLst>
        </c:ser>
        <c:ser>
          <c:idx val="1"/>
          <c:order val="1"/>
          <c:tx>
            <c:strRef>
              <c:f>'BUDGET PRESENTATION CS'!$I$44</c:f>
              <c:strCache>
                <c:ptCount val="1"/>
              </c:strCache>
            </c:strRef>
          </c:tx>
          <c:dPt>
            <c:idx val="0"/>
            <c:bubble3D val="0"/>
            <c:spPr>
              <a:gradFill rotWithShape="1">
                <a:gsLst>
                  <a:gs pos="0">
                    <a:schemeClr val="accent1">
                      <a:shade val="63000"/>
                    </a:schemeClr>
                  </a:gs>
                  <a:gs pos="30000">
                    <a:schemeClr val="accent1">
                      <a:shade val="90000"/>
                      <a:satMod val="110000"/>
                    </a:schemeClr>
                  </a:gs>
                  <a:gs pos="45000">
                    <a:schemeClr val="accent1">
                      <a:shade val="100000"/>
                      <a:satMod val="118000"/>
                    </a:schemeClr>
                  </a:gs>
                  <a:gs pos="55000">
                    <a:schemeClr val="accent1">
                      <a:shade val="100000"/>
                      <a:satMod val="118000"/>
                    </a:schemeClr>
                  </a:gs>
                  <a:gs pos="73000">
                    <a:schemeClr val="accent1">
                      <a:shade val="90000"/>
                      <a:satMod val="110000"/>
                    </a:schemeClr>
                  </a:gs>
                  <a:gs pos="100000">
                    <a:schemeClr val="accent1">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E-DDDC-4E52-B412-356BFEF50E94}"/>
              </c:ext>
            </c:extLst>
          </c:dPt>
          <c:dPt>
            <c:idx val="1"/>
            <c:bubble3D val="0"/>
            <c:spPr>
              <a:gradFill rotWithShape="1">
                <a:gsLst>
                  <a:gs pos="0">
                    <a:schemeClr val="accent2">
                      <a:shade val="63000"/>
                    </a:schemeClr>
                  </a:gs>
                  <a:gs pos="30000">
                    <a:schemeClr val="accent2">
                      <a:shade val="90000"/>
                      <a:satMod val="110000"/>
                    </a:schemeClr>
                  </a:gs>
                  <a:gs pos="45000">
                    <a:schemeClr val="accent2">
                      <a:shade val="100000"/>
                      <a:satMod val="118000"/>
                    </a:schemeClr>
                  </a:gs>
                  <a:gs pos="55000">
                    <a:schemeClr val="accent2">
                      <a:shade val="100000"/>
                      <a:satMod val="118000"/>
                    </a:schemeClr>
                  </a:gs>
                  <a:gs pos="73000">
                    <a:schemeClr val="accent2">
                      <a:shade val="90000"/>
                      <a:satMod val="110000"/>
                    </a:schemeClr>
                  </a:gs>
                  <a:gs pos="100000">
                    <a:schemeClr val="accent2">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0-DDDC-4E52-B412-356BFEF50E94}"/>
              </c:ext>
            </c:extLst>
          </c:dPt>
          <c:dPt>
            <c:idx val="2"/>
            <c:bubble3D val="0"/>
            <c:spPr>
              <a:gradFill rotWithShape="1">
                <a:gsLst>
                  <a:gs pos="0">
                    <a:schemeClr val="accent3">
                      <a:shade val="63000"/>
                    </a:schemeClr>
                  </a:gs>
                  <a:gs pos="30000">
                    <a:schemeClr val="accent3">
                      <a:shade val="90000"/>
                      <a:satMod val="110000"/>
                    </a:schemeClr>
                  </a:gs>
                  <a:gs pos="45000">
                    <a:schemeClr val="accent3">
                      <a:shade val="100000"/>
                      <a:satMod val="118000"/>
                    </a:schemeClr>
                  </a:gs>
                  <a:gs pos="55000">
                    <a:schemeClr val="accent3">
                      <a:shade val="100000"/>
                      <a:satMod val="118000"/>
                    </a:schemeClr>
                  </a:gs>
                  <a:gs pos="73000">
                    <a:schemeClr val="accent3">
                      <a:shade val="90000"/>
                      <a:satMod val="110000"/>
                    </a:schemeClr>
                  </a:gs>
                  <a:gs pos="100000">
                    <a:schemeClr val="accent3">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2-DDDC-4E52-B412-356BFEF50E94}"/>
              </c:ext>
            </c:extLst>
          </c:dPt>
          <c:dPt>
            <c:idx val="3"/>
            <c:bubble3D val="0"/>
            <c:spPr>
              <a:gradFill rotWithShape="1">
                <a:gsLst>
                  <a:gs pos="0">
                    <a:schemeClr val="accent4">
                      <a:shade val="63000"/>
                    </a:schemeClr>
                  </a:gs>
                  <a:gs pos="30000">
                    <a:schemeClr val="accent4">
                      <a:shade val="90000"/>
                      <a:satMod val="110000"/>
                    </a:schemeClr>
                  </a:gs>
                  <a:gs pos="45000">
                    <a:schemeClr val="accent4">
                      <a:shade val="100000"/>
                      <a:satMod val="118000"/>
                    </a:schemeClr>
                  </a:gs>
                  <a:gs pos="55000">
                    <a:schemeClr val="accent4">
                      <a:shade val="100000"/>
                      <a:satMod val="118000"/>
                    </a:schemeClr>
                  </a:gs>
                  <a:gs pos="73000">
                    <a:schemeClr val="accent4">
                      <a:shade val="90000"/>
                      <a:satMod val="110000"/>
                    </a:schemeClr>
                  </a:gs>
                  <a:gs pos="100000">
                    <a:schemeClr val="accent4">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4-DDDC-4E52-B412-356BFEF50E94}"/>
              </c:ext>
            </c:extLst>
          </c:dPt>
          <c:dPt>
            <c:idx val="4"/>
            <c:bubble3D val="0"/>
            <c:spPr>
              <a:gradFill rotWithShape="1">
                <a:gsLst>
                  <a:gs pos="0">
                    <a:schemeClr val="accent5">
                      <a:shade val="63000"/>
                    </a:schemeClr>
                  </a:gs>
                  <a:gs pos="30000">
                    <a:schemeClr val="accent5">
                      <a:shade val="90000"/>
                      <a:satMod val="110000"/>
                    </a:schemeClr>
                  </a:gs>
                  <a:gs pos="45000">
                    <a:schemeClr val="accent5">
                      <a:shade val="100000"/>
                      <a:satMod val="118000"/>
                    </a:schemeClr>
                  </a:gs>
                  <a:gs pos="55000">
                    <a:schemeClr val="accent5">
                      <a:shade val="100000"/>
                      <a:satMod val="118000"/>
                    </a:schemeClr>
                  </a:gs>
                  <a:gs pos="73000">
                    <a:schemeClr val="accent5">
                      <a:shade val="90000"/>
                      <a:satMod val="110000"/>
                    </a:schemeClr>
                  </a:gs>
                  <a:gs pos="100000">
                    <a:schemeClr val="accent5">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6-DDDC-4E52-B412-356BFEF50E94}"/>
              </c:ext>
            </c:extLst>
          </c:dPt>
          <c:dPt>
            <c:idx val="5"/>
            <c:bubble3D val="0"/>
            <c:spPr>
              <a:gradFill rotWithShape="1">
                <a:gsLst>
                  <a:gs pos="0">
                    <a:schemeClr val="accent6">
                      <a:shade val="63000"/>
                    </a:schemeClr>
                  </a:gs>
                  <a:gs pos="30000">
                    <a:schemeClr val="accent6">
                      <a:shade val="90000"/>
                      <a:satMod val="110000"/>
                    </a:schemeClr>
                  </a:gs>
                  <a:gs pos="45000">
                    <a:schemeClr val="accent6">
                      <a:shade val="100000"/>
                      <a:satMod val="118000"/>
                    </a:schemeClr>
                  </a:gs>
                  <a:gs pos="55000">
                    <a:schemeClr val="accent6">
                      <a:shade val="100000"/>
                      <a:satMod val="118000"/>
                    </a:schemeClr>
                  </a:gs>
                  <a:gs pos="73000">
                    <a:schemeClr val="accent6">
                      <a:shade val="90000"/>
                      <a:satMod val="110000"/>
                    </a:schemeClr>
                  </a:gs>
                  <a:gs pos="100000">
                    <a:schemeClr val="accent6">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8-DDDC-4E52-B412-356BFEF50E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'BUDGET PRESENTATION CS'!$B$45:$G$49</c:f>
              <c:strCache>
                <c:ptCount val="5"/>
                <c:pt idx="0">
                  <c:v>Salaries and Benefits</c:v>
                </c:pt>
                <c:pt idx="1">
                  <c:v>General Office</c:v>
                </c:pt>
                <c:pt idx="2">
                  <c:v>Professional Fees</c:v>
                </c:pt>
                <c:pt idx="3">
                  <c:v>Technology</c:v>
                </c:pt>
                <c:pt idx="4">
                  <c:v>Accomodations</c:v>
                </c:pt>
              </c:strCache>
            </c:strRef>
          </c:cat>
          <c:val>
            <c:numRef>
              <c:f>'BUDGET PRESENTATION CS'!$I$45:$I$49</c:f>
              <c:numCache>
                <c:formatCode>General</c:formatCode>
                <c:ptCount val="5"/>
              </c:numCache>
            </c:numRef>
          </c:val>
          <c:extLst>
            <c:ext xmlns:c16="http://schemas.microsoft.com/office/drawing/2014/chart" uri="{C3380CC4-5D6E-409C-BE32-E72D297353CC}">
              <c16:uniqueId val="{00000019-DDDC-4E52-B412-356BFEF50E94}"/>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'BUDGET PRESENTATION CS'!$J$44</c:f>
              <c:strCache>
                <c:ptCount val="1"/>
                <c:pt idx="0">
                  <c:v>2024</c:v>
                </c:pt>
              </c:strCache>
            </c:strRef>
          </c:tx>
          <c:dPt>
            <c:idx val="0"/>
            <c:bubble3D val="0"/>
            <c:spPr>
              <a:gradFill rotWithShape="1">
                <a:gsLst>
                  <a:gs pos="0">
                    <a:schemeClr val="accent1">
                      <a:shade val="63000"/>
                    </a:schemeClr>
                  </a:gs>
                  <a:gs pos="30000">
                    <a:schemeClr val="accent1">
                      <a:shade val="90000"/>
                      <a:satMod val="110000"/>
                    </a:schemeClr>
                  </a:gs>
                  <a:gs pos="45000">
                    <a:schemeClr val="accent1">
                      <a:shade val="100000"/>
                      <a:satMod val="118000"/>
                    </a:schemeClr>
                  </a:gs>
                  <a:gs pos="55000">
                    <a:schemeClr val="accent1">
                      <a:shade val="100000"/>
                      <a:satMod val="118000"/>
                    </a:schemeClr>
                  </a:gs>
                  <a:gs pos="73000">
                    <a:schemeClr val="accent1">
                      <a:shade val="90000"/>
                      <a:satMod val="110000"/>
                    </a:schemeClr>
                  </a:gs>
                  <a:gs pos="100000">
                    <a:schemeClr val="accent1">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1-7453-4AE9-8BD3-9F2E74255502}"/>
              </c:ext>
            </c:extLst>
          </c:dPt>
          <c:dPt>
            <c:idx val="1"/>
            <c:bubble3D val="0"/>
            <c:spPr>
              <a:gradFill rotWithShape="1">
                <a:gsLst>
                  <a:gs pos="0">
                    <a:schemeClr val="accent2">
                      <a:shade val="63000"/>
                    </a:schemeClr>
                  </a:gs>
                  <a:gs pos="30000">
                    <a:schemeClr val="accent2">
                      <a:shade val="90000"/>
                      <a:satMod val="110000"/>
                    </a:schemeClr>
                  </a:gs>
                  <a:gs pos="45000">
                    <a:schemeClr val="accent2">
                      <a:shade val="100000"/>
                      <a:satMod val="118000"/>
                    </a:schemeClr>
                  </a:gs>
                  <a:gs pos="55000">
                    <a:schemeClr val="accent2">
                      <a:shade val="100000"/>
                      <a:satMod val="118000"/>
                    </a:schemeClr>
                  </a:gs>
                  <a:gs pos="73000">
                    <a:schemeClr val="accent2">
                      <a:shade val="90000"/>
                      <a:satMod val="110000"/>
                    </a:schemeClr>
                  </a:gs>
                  <a:gs pos="100000">
                    <a:schemeClr val="accent2">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3-7453-4AE9-8BD3-9F2E74255502}"/>
              </c:ext>
            </c:extLst>
          </c:dPt>
          <c:dPt>
            <c:idx val="2"/>
            <c:bubble3D val="0"/>
            <c:spPr>
              <a:gradFill rotWithShape="1">
                <a:gsLst>
                  <a:gs pos="0">
                    <a:schemeClr val="accent3">
                      <a:shade val="63000"/>
                    </a:schemeClr>
                  </a:gs>
                  <a:gs pos="30000">
                    <a:schemeClr val="accent3">
                      <a:shade val="90000"/>
                      <a:satMod val="110000"/>
                    </a:schemeClr>
                  </a:gs>
                  <a:gs pos="45000">
                    <a:schemeClr val="accent3">
                      <a:shade val="100000"/>
                      <a:satMod val="118000"/>
                    </a:schemeClr>
                  </a:gs>
                  <a:gs pos="55000">
                    <a:schemeClr val="accent3">
                      <a:shade val="100000"/>
                      <a:satMod val="118000"/>
                    </a:schemeClr>
                  </a:gs>
                  <a:gs pos="73000">
                    <a:schemeClr val="accent3">
                      <a:shade val="90000"/>
                      <a:satMod val="110000"/>
                    </a:schemeClr>
                  </a:gs>
                  <a:gs pos="100000">
                    <a:schemeClr val="accent3">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5-7453-4AE9-8BD3-9F2E74255502}"/>
              </c:ext>
            </c:extLst>
          </c:dPt>
          <c:dPt>
            <c:idx val="3"/>
            <c:bubble3D val="0"/>
            <c:spPr>
              <a:gradFill rotWithShape="1">
                <a:gsLst>
                  <a:gs pos="0">
                    <a:schemeClr val="accent4">
                      <a:shade val="63000"/>
                    </a:schemeClr>
                  </a:gs>
                  <a:gs pos="30000">
                    <a:schemeClr val="accent4">
                      <a:shade val="90000"/>
                      <a:satMod val="110000"/>
                    </a:schemeClr>
                  </a:gs>
                  <a:gs pos="45000">
                    <a:schemeClr val="accent4">
                      <a:shade val="100000"/>
                      <a:satMod val="118000"/>
                    </a:schemeClr>
                  </a:gs>
                  <a:gs pos="55000">
                    <a:schemeClr val="accent4">
                      <a:shade val="100000"/>
                      <a:satMod val="118000"/>
                    </a:schemeClr>
                  </a:gs>
                  <a:gs pos="73000">
                    <a:schemeClr val="accent4">
                      <a:shade val="90000"/>
                      <a:satMod val="110000"/>
                    </a:schemeClr>
                  </a:gs>
                  <a:gs pos="100000">
                    <a:schemeClr val="accent4">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7-7453-4AE9-8BD3-9F2E74255502}"/>
              </c:ext>
            </c:extLst>
          </c:dPt>
          <c:dPt>
            <c:idx val="4"/>
            <c:bubble3D val="0"/>
            <c:spPr>
              <a:gradFill rotWithShape="1">
                <a:gsLst>
                  <a:gs pos="0">
                    <a:schemeClr val="accent5">
                      <a:shade val="63000"/>
                    </a:schemeClr>
                  </a:gs>
                  <a:gs pos="30000">
                    <a:schemeClr val="accent5">
                      <a:shade val="90000"/>
                      <a:satMod val="110000"/>
                    </a:schemeClr>
                  </a:gs>
                  <a:gs pos="45000">
                    <a:schemeClr val="accent5">
                      <a:shade val="100000"/>
                      <a:satMod val="118000"/>
                    </a:schemeClr>
                  </a:gs>
                  <a:gs pos="55000">
                    <a:schemeClr val="accent5">
                      <a:shade val="100000"/>
                      <a:satMod val="118000"/>
                    </a:schemeClr>
                  </a:gs>
                  <a:gs pos="73000">
                    <a:schemeClr val="accent5">
                      <a:shade val="90000"/>
                      <a:satMod val="110000"/>
                    </a:schemeClr>
                  </a:gs>
                  <a:gs pos="100000">
                    <a:schemeClr val="accent5">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9-7453-4AE9-8BD3-9F2E74255502}"/>
              </c:ext>
            </c:extLst>
          </c:dPt>
          <c:dPt>
            <c:idx val="5"/>
            <c:bubble3D val="0"/>
            <c:spPr>
              <a:gradFill rotWithShape="1">
                <a:gsLst>
                  <a:gs pos="0">
                    <a:schemeClr val="accent6">
                      <a:shade val="63000"/>
                    </a:schemeClr>
                  </a:gs>
                  <a:gs pos="30000">
                    <a:schemeClr val="accent6">
                      <a:shade val="90000"/>
                      <a:satMod val="110000"/>
                    </a:schemeClr>
                  </a:gs>
                  <a:gs pos="45000">
                    <a:schemeClr val="accent6">
                      <a:shade val="100000"/>
                      <a:satMod val="118000"/>
                    </a:schemeClr>
                  </a:gs>
                  <a:gs pos="55000">
                    <a:schemeClr val="accent6">
                      <a:shade val="100000"/>
                      <a:satMod val="118000"/>
                    </a:schemeClr>
                  </a:gs>
                  <a:gs pos="73000">
                    <a:schemeClr val="accent6">
                      <a:shade val="90000"/>
                      <a:satMod val="110000"/>
                    </a:schemeClr>
                  </a:gs>
                  <a:gs pos="100000">
                    <a:schemeClr val="accent6">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B-7453-4AE9-8BD3-9F2E74255502}"/>
              </c:ext>
            </c:extLst>
          </c:dPt>
          <c:dLbls>
            <c:dLbl>
              <c:idx val="0"/>
              <c:layout>
                <c:manualLayout>
                  <c:x val="-0.1629707521698493"/>
                  <c:y val="-0.12917828478481894"/>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410077373089264"/>
                      <c:h val="0.15977653631284916"/>
                    </c:manualLayout>
                  </c15:layout>
                </c:ext>
                <c:ext xmlns:c16="http://schemas.microsoft.com/office/drawing/2014/chart" uri="{C3380CC4-5D6E-409C-BE32-E72D297353CC}">
                  <c16:uniqueId val="{00000001-7453-4AE9-8BD3-9F2E74255502}"/>
                </c:ext>
              </c:extLst>
            </c:dLbl>
            <c:dLbl>
              <c:idx val="1"/>
              <c:layout>
                <c:manualLayout>
                  <c:x val="3.821609485075924E-2"/>
                  <c:y val="1.2867674012815352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860728439328175"/>
                      <c:h val="0.1435754189944134"/>
                    </c:manualLayout>
                  </c15:layout>
                </c:ext>
                <c:ext xmlns:c16="http://schemas.microsoft.com/office/drawing/2014/chart" uri="{C3380CC4-5D6E-409C-BE32-E72D297353CC}">
                  <c16:uniqueId val="{00000003-7453-4AE9-8BD3-9F2E74255502}"/>
                </c:ext>
              </c:extLst>
            </c:dLbl>
            <c:dLbl>
              <c:idx val="2"/>
              <c:layout>
                <c:manualLayout>
                  <c:x val="2.2101924759405102E-3"/>
                  <c:y val="-4.9327774377451741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53-4AE9-8BD3-9F2E74255502}"/>
                </c:ext>
              </c:extLst>
            </c:dLbl>
            <c:dLbl>
              <c:idx val="3"/>
              <c:layout>
                <c:manualLayout>
                  <c:x val="6.8927876749884445E-2"/>
                  <c:y val="-6.342834938928725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53-4AE9-8BD3-9F2E74255502}"/>
                </c:ext>
              </c:extLst>
            </c:dLbl>
            <c:dLbl>
              <c:idx val="4"/>
              <c:layout>
                <c:manualLayout>
                  <c:x val="0.11107548148291239"/>
                  <c:y val="2.1399324037009341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27796211735092"/>
                      <c:h val="0.1435754189944134"/>
                    </c:manualLayout>
                  </c15:layout>
                </c:ext>
                <c:ext xmlns:c16="http://schemas.microsoft.com/office/drawing/2014/chart" uri="{C3380CC4-5D6E-409C-BE32-E72D297353CC}">
                  <c16:uniqueId val="{00000009-7453-4AE9-8BD3-9F2E742555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'BUDGET PRESENTATION CS'!$B$45:$G$49</c:f>
              <c:strCache>
                <c:ptCount val="5"/>
                <c:pt idx="0">
                  <c:v>Salaries and Benefits</c:v>
                </c:pt>
                <c:pt idx="1">
                  <c:v>General Office</c:v>
                </c:pt>
                <c:pt idx="2">
                  <c:v>Professional Fees</c:v>
                </c:pt>
                <c:pt idx="3">
                  <c:v>Technology</c:v>
                </c:pt>
                <c:pt idx="4">
                  <c:v>Accomodations</c:v>
                </c:pt>
              </c:strCache>
            </c:strRef>
          </c:cat>
          <c:val>
            <c:numRef>
              <c:f>'BUDGET PRESENTATION CS'!$J$45:$J$49</c:f>
              <c:numCache>
                <c:formatCode>_(* #,##0_);_(* \(#,##0\);_(* "-"??_);_(@_)</c:formatCode>
                <c:ptCount val="5"/>
                <c:pt idx="0">
                  <c:v>2346808</c:v>
                </c:pt>
                <c:pt idx="1">
                  <c:v>340624</c:v>
                </c:pt>
                <c:pt idx="2">
                  <c:v>82701</c:v>
                </c:pt>
                <c:pt idx="3">
                  <c:v>727560</c:v>
                </c:pt>
                <c:pt idx="4">
                  <c:v>477459</c:v>
                </c:pt>
              </c:numCache>
            </c:numRef>
          </c:val>
          <c:extLst>
            <c:ext xmlns:c16="http://schemas.microsoft.com/office/drawing/2014/chart" uri="{C3380CC4-5D6E-409C-BE32-E72D297353CC}">
              <c16:uniqueId val="{0000000C-7453-4AE9-8BD3-9F2E74255502}"/>
            </c:ext>
          </c:extLst>
        </c:ser>
        <c:ser>
          <c:idx val="1"/>
          <c:order val="1"/>
          <c:tx>
            <c:strRef>
              <c:f>'BUDGET PRESENTATION CS'!$I$44</c:f>
              <c:strCache>
                <c:ptCount val="1"/>
              </c:strCache>
            </c:strRef>
          </c:tx>
          <c:dPt>
            <c:idx val="0"/>
            <c:bubble3D val="0"/>
            <c:spPr>
              <a:gradFill rotWithShape="1">
                <a:gsLst>
                  <a:gs pos="0">
                    <a:schemeClr val="accent1">
                      <a:shade val="63000"/>
                    </a:schemeClr>
                  </a:gs>
                  <a:gs pos="30000">
                    <a:schemeClr val="accent1">
                      <a:shade val="90000"/>
                      <a:satMod val="110000"/>
                    </a:schemeClr>
                  </a:gs>
                  <a:gs pos="45000">
                    <a:schemeClr val="accent1">
                      <a:shade val="100000"/>
                      <a:satMod val="118000"/>
                    </a:schemeClr>
                  </a:gs>
                  <a:gs pos="55000">
                    <a:schemeClr val="accent1">
                      <a:shade val="100000"/>
                      <a:satMod val="118000"/>
                    </a:schemeClr>
                  </a:gs>
                  <a:gs pos="73000">
                    <a:schemeClr val="accent1">
                      <a:shade val="90000"/>
                      <a:satMod val="110000"/>
                    </a:schemeClr>
                  </a:gs>
                  <a:gs pos="100000">
                    <a:schemeClr val="accent1">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0E-7453-4AE9-8BD3-9F2E74255502}"/>
              </c:ext>
            </c:extLst>
          </c:dPt>
          <c:dPt>
            <c:idx val="1"/>
            <c:bubble3D val="0"/>
            <c:spPr>
              <a:gradFill rotWithShape="1">
                <a:gsLst>
                  <a:gs pos="0">
                    <a:schemeClr val="accent2">
                      <a:shade val="63000"/>
                    </a:schemeClr>
                  </a:gs>
                  <a:gs pos="30000">
                    <a:schemeClr val="accent2">
                      <a:shade val="90000"/>
                      <a:satMod val="110000"/>
                    </a:schemeClr>
                  </a:gs>
                  <a:gs pos="45000">
                    <a:schemeClr val="accent2">
                      <a:shade val="100000"/>
                      <a:satMod val="118000"/>
                    </a:schemeClr>
                  </a:gs>
                  <a:gs pos="55000">
                    <a:schemeClr val="accent2">
                      <a:shade val="100000"/>
                      <a:satMod val="118000"/>
                    </a:schemeClr>
                  </a:gs>
                  <a:gs pos="73000">
                    <a:schemeClr val="accent2">
                      <a:shade val="90000"/>
                      <a:satMod val="110000"/>
                    </a:schemeClr>
                  </a:gs>
                  <a:gs pos="100000">
                    <a:schemeClr val="accent2">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0-7453-4AE9-8BD3-9F2E74255502}"/>
              </c:ext>
            </c:extLst>
          </c:dPt>
          <c:dPt>
            <c:idx val="2"/>
            <c:bubble3D val="0"/>
            <c:spPr>
              <a:gradFill rotWithShape="1">
                <a:gsLst>
                  <a:gs pos="0">
                    <a:schemeClr val="accent3">
                      <a:shade val="63000"/>
                    </a:schemeClr>
                  </a:gs>
                  <a:gs pos="30000">
                    <a:schemeClr val="accent3">
                      <a:shade val="90000"/>
                      <a:satMod val="110000"/>
                    </a:schemeClr>
                  </a:gs>
                  <a:gs pos="45000">
                    <a:schemeClr val="accent3">
                      <a:shade val="100000"/>
                      <a:satMod val="118000"/>
                    </a:schemeClr>
                  </a:gs>
                  <a:gs pos="55000">
                    <a:schemeClr val="accent3">
                      <a:shade val="100000"/>
                      <a:satMod val="118000"/>
                    </a:schemeClr>
                  </a:gs>
                  <a:gs pos="73000">
                    <a:schemeClr val="accent3">
                      <a:shade val="90000"/>
                      <a:satMod val="110000"/>
                    </a:schemeClr>
                  </a:gs>
                  <a:gs pos="100000">
                    <a:schemeClr val="accent3">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2-7453-4AE9-8BD3-9F2E74255502}"/>
              </c:ext>
            </c:extLst>
          </c:dPt>
          <c:dPt>
            <c:idx val="3"/>
            <c:bubble3D val="0"/>
            <c:spPr>
              <a:gradFill rotWithShape="1">
                <a:gsLst>
                  <a:gs pos="0">
                    <a:schemeClr val="accent4">
                      <a:shade val="63000"/>
                    </a:schemeClr>
                  </a:gs>
                  <a:gs pos="30000">
                    <a:schemeClr val="accent4">
                      <a:shade val="90000"/>
                      <a:satMod val="110000"/>
                    </a:schemeClr>
                  </a:gs>
                  <a:gs pos="45000">
                    <a:schemeClr val="accent4">
                      <a:shade val="100000"/>
                      <a:satMod val="118000"/>
                    </a:schemeClr>
                  </a:gs>
                  <a:gs pos="55000">
                    <a:schemeClr val="accent4">
                      <a:shade val="100000"/>
                      <a:satMod val="118000"/>
                    </a:schemeClr>
                  </a:gs>
                  <a:gs pos="73000">
                    <a:schemeClr val="accent4">
                      <a:shade val="90000"/>
                      <a:satMod val="110000"/>
                    </a:schemeClr>
                  </a:gs>
                  <a:gs pos="100000">
                    <a:schemeClr val="accent4">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4-7453-4AE9-8BD3-9F2E74255502}"/>
              </c:ext>
            </c:extLst>
          </c:dPt>
          <c:dPt>
            <c:idx val="4"/>
            <c:bubble3D val="0"/>
            <c:spPr>
              <a:gradFill rotWithShape="1">
                <a:gsLst>
                  <a:gs pos="0">
                    <a:schemeClr val="accent5">
                      <a:shade val="63000"/>
                    </a:schemeClr>
                  </a:gs>
                  <a:gs pos="30000">
                    <a:schemeClr val="accent5">
                      <a:shade val="90000"/>
                      <a:satMod val="110000"/>
                    </a:schemeClr>
                  </a:gs>
                  <a:gs pos="45000">
                    <a:schemeClr val="accent5">
                      <a:shade val="100000"/>
                      <a:satMod val="118000"/>
                    </a:schemeClr>
                  </a:gs>
                  <a:gs pos="55000">
                    <a:schemeClr val="accent5">
                      <a:shade val="100000"/>
                      <a:satMod val="118000"/>
                    </a:schemeClr>
                  </a:gs>
                  <a:gs pos="73000">
                    <a:schemeClr val="accent5">
                      <a:shade val="90000"/>
                      <a:satMod val="110000"/>
                    </a:schemeClr>
                  </a:gs>
                  <a:gs pos="100000">
                    <a:schemeClr val="accent5">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6-7453-4AE9-8BD3-9F2E74255502}"/>
              </c:ext>
            </c:extLst>
          </c:dPt>
          <c:dPt>
            <c:idx val="5"/>
            <c:bubble3D val="0"/>
            <c:spPr>
              <a:gradFill rotWithShape="1">
                <a:gsLst>
                  <a:gs pos="0">
                    <a:schemeClr val="accent6">
                      <a:shade val="63000"/>
                    </a:schemeClr>
                  </a:gs>
                  <a:gs pos="30000">
                    <a:schemeClr val="accent6">
                      <a:shade val="90000"/>
                      <a:satMod val="110000"/>
                    </a:schemeClr>
                  </a:gs>
                  <a:gs pos="45000">
                    <a:schemeClr val="accent6">
                      <a:shade val="100000"/>
                      <a:satMod val="118000"/>
                    </a:schemeClr>
                  </a:gs>
                  <a:gs pos="55000">
                    <a:schemeClr val="accent6">
                      <a:shade val="100000"/>
                      <a:satMod val="118000"/>
                    </a:schemeClr>
                  </a:gs>
                  <a:gs pos="73000">
                    <a:schemeClr val="accent6">
                      <a:shade val="90000"/>
                      <a:satMod val="110000"/>
                    </a:schemeClr>
                  </a:gs>
                  <a:gs pos="100000">
                    <a:schemeClr val="accent6">
                      <a:shade val="63000"/>
                    </a:schemeClr>
                  </a:gs>
                </a:gsLst>
                <a:lin ang="950000" scaled="1"/>
              </a:gradFill>
              <a:ln>
                <a:noFill/>
              </a:ln>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rgbClr r="0" g="0" b="0">
                    <a:tint val="100000"/>
                    <a:shade val="100000"/>
                    <a:hueMod val="100000"/>
                    <a:satMod val="100000"/>
                  </a:scrgbClr>
                </a:contourClr>
              </a:sp3d>
            </c:spPr>
            <c:extLst>
              <c:ext xmlns:c16="http://schemas.microsoft.com/office/drawing/2014/chart" uri="{C3380CC4-5D6E-409C-BE32-E72D297353CC}">
                <c16:uniqueId val="{00000018-7453-4AE9-8BD3-9F2E7425550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'BUDGET PRESENTATION CS'!$B$45:$G$49</c:f>
              <c:strCache>
                <c:ptCount val="5"/>
                <c:pt idx="0">
                  <c:v>Salaries and Benefits</c:v>
                </c:pt>
                <c:pt idx="1">
                  <c:v>General Office</c:v>
                </c:pt>
                <c:pt idx="2">
                  <c:v>Professional Fees</c:v>
                </c:pt>
                <c:pt idx="3">
                  <c:v>Technology</c:v>
                </c:pt>
                <c:pt idx="4">
                  <c:v>Accomodations</c:v>
                </c:pt>
              </c:strCache>
            </c:strRef>
          </c:cat>
          <c:val>
            <c:numRef>
              <c:f>'BUDGET PRESENTATION CS'!$I$45:$I$49</c:f>
              <c:numCache>
                <c:formatCode>General</c:formatCode>
                <c:ptCount val="5"/>
              </c:numCache>
            </c:numRef>
          </c:val>
          <c:extLst>
            <c:ext xmlns:c16="http://schemas.microsoft.com/office/drawing/2014/chart" uri="{C3380CC4-5D6E-409C-BE32-E72D297353CC}">
              <c16:uniqueId val="{00000019-7453-4AE9-8BD3-9F2E74255502}"/>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en-US" sz="1800" b="1" i="0" baseline="0">
                <a:effectLst/>
              </a:rPr>
              <a:t>Corporate Services % Comparison - Budget</a:t>
            </a:r>
            <a:endParaRPr lang="en-US">
              <a:effectLst/>
            </a:endParaRPr>
          </a:p>
        </c:rich>
      </c:tx>
      <c:overlay val="0"/>
    </c:title>
    <c:autoTitleDeleted val="0"/>
    <c:plotArea>
      <c:layout/>
      <c:barChart>
        <c:barDir val="col"/>
        <c:grouping val="clustered"/>
        <c:varyColors val="0"/>
        <c:ser>
          <c:idx val="0"/>
          <c:order val="0"/>
          <c:tx>
            <c:strRef>
              <c:f>'Admin Comparison - Budget'!$T$2:$V$2</c:f>
              <c:strCache>
                <c:ptCount val="1"/>
                <c:pt idx="0">
                  <c:v>2022</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1-161C-4147-A4BD-F10F964EF5AC}"/>
              </c:ext>
            </c:extLst>
          </c:dPt>
          <c:cat>
            <c:strRef>
              <c:f>'Admin Comparison - Budget'!$D$4:$D$11</c:f>
              <c:strCache>
                <c:ptCount val="8"/>
                <c:pt idx="0">
                  <c:v>Nipissing</c:v>
                </c:pt>
                <c:pt idx="1">
                  <c:v>DSSAB 1</c:v>
                </c:pt>
                <c:pt idx="2">
                  <c:v>DSSAB 2</c:v>
                </c:pt>
                <c:pt idx="3">
                  <c:v>DSSAB 3</c:v>
                </c:pt>
                <c:pt idx="4">
                  <c:v>DSSAB 4</c:v>
                </c:pt>
                <c:pt idx="5">
                  <c:v>DSSAB 5</c:v>
                </c:pt>
                <c:pt idx="6">
                  <c:v>DSSAB 6</c:v>
                </c:pt>
                <c:pt idx="7">
                  <c:v>DSSAB 7</c:v>
                </c:pt>
              </c:strCache>
            </c:strRef>
          </c:cat>
          <c:val>
            <c:numRef>
              <c:f>'Admin Comparison - Budget'!$V$4:$V$11</c:f>
              <c:numCache>
                <c:formatCode>0.00%</c:formatCode>
                <c:ptCount val="8"/>
                <c:pt idx="0">
                  <c:v>3.9420122047287696E-2</c:v>
                </c:pt>
                <c:pt idx="1">
                  <c:v>6.1698917892471082E-2</c:v>
                </c:pt>
                <c:pt idx="2">
                  <c:v>4.7055884395119256E-2</c:v>
                </c:pt>
                <c:pt idx="3">
                  <c:v>4.2268470153478434E-2</c:v>
                </c:pt>
                <c:pt idx="4">
                  <c:v>6.3511476223145333E-2</c:v>
                </c:pt>
                <c:pt idx="5">
                  <c:v>7.277239454682928E-2</c:v>
                </c:pt>
                <c:pt idx="6">
                  <c:v>6.2477674652330006E-2</c:v>
                </c:pt>
                <c:pt idx="7">
                  <c:v>9.7247366507032348E-2</c:v>
                </c:pt>
              </c:numCache>
            </c:numRef>
          </c:val>
          <c:extLst>
            <c:ext xmlns:c16="http://schemas.microsoft.com/office/drawing/2014/chart" uri="{C3380CC4-5D6E-409C-BE32-E72D297353CC}">
              <c16:uniqueId val="{00000002-161C-4147-A4BD-F10F964EF5AC}"/>
            </c:ext>
          </c:extLst>
        </c:ser>
        <c:ser>
          <c:idx val="1"/>
          <c:order val="1"/>
          <c:tx>
            <c:strRef>
              <c:f>'Admin Comparison - Budget'!$X$2:$Z$2</c:f>
              <c:strCache>
                <c:ptCount val="1"/>
                <c:pt idx="0">
                  <c:v>2023</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4-161C-4147-A4BD-F10F964EF5AC}"/>
              </c:ext>
            </c:extLst>
          </c:dPt>
          <c:cat>
            <c:strRef>
              <c:f>'Admin Comparison - Budget'!$D$4:$D$11</c:f>
              <c:strCache>
                <c:ptCount val="8"/>
                <c:pt idx="0">
                  <c:v>Nipissing</c:v>
                </c:pt>
                <c:pt idx="1">
                  <c:v>DSSAB 1</c:v>
                </c:pt>
                <c:pt idx="2">
                  <c:v>DSSAB 2</c:v>
                </c:pt>
                <c:pt idx="3">
                  <c:v>DSSAB 3</c:v>
                </c:pt>
                <c:pt idx="4">
                  <c:v>DSSAB 4</c:v>
                </c:pt>
                <c:pt idx="5">
                  <c:v>DSSAB 5</c:v>
                </c:pt>
                <c:pt idx="6">
                  <c:v>DSSAB 6</c:v>
                </c:pt>
                <c:pt idx="7">
                  <c:v>DSSAB 7</c:v>
                </c:pt>
              </c:strCache>
            </c:strRef>
          </c:cat>
          <c:val>
            <c:numRef>
              <c:f>'Admin Comparison - Budget'!$Z$4:$Z$11</c:f>
              <c:numCache>
                <c:formatCode>0.00%</c:formatCode>
                <c:ptCount val="8"/>
                <c:pt idx="0">
                  <c:v>3.8811233865746551E-2</c:v>
                </c:pt>
                <c:pt idx="1">
                  <c:v>5.7900628037010335E-2</c:v>
                </c:pt>
                <c:pt idx="2">
                  <c:v>5.4060867303502444E-2</c:v>
                </c:pt>
                <c:pt idx="3">
                  <c:v>4.2177950713237107E-2</c:v>
                </c:pt>
                <c:pt idx="4">
                  <c:v>0</c:v>
                </c:pt>
                <c:pt idx="5">
                  <c:v>8.0624350056034008E-2</c:v>
                </c:pt>
                <c:pt idx="6">
                  <c:v>5.6893576776187074E-2</c:v>
                </c:pt>
                <c:pt idx="7">
                  <c:v>8.9687008258637707E-2</c:v>
                </c:pt>
              </c:numCache>
            </c:numRef>
          </c:val>
          <c:extLst>
            <c:ext xmlns:c16="http://schemas.microsoft.com/office/drawing/2014/chart" uri="{C3380CC4-5D6E-409C-BE32-E72D297353CC}">
              <c16:uniqueId val="{00000005-161C-4147-A4BD-F10F964EF5AC}"/>
            </c:ext>
          </c:extLst>
        </c:ser>
        <c:dLbls>
          <c:showLegendKey val="0"/>
          <c:showVal val="0"/>
          <c:showCatName val="0"/>
          <c:showSerName val="0"/>
          <c:showPercent val="0"/>
          <c:showBubbleSize val="0"/>
        </c:dLbls>
        <c:gapWidth val="150"/>
        <c:axId val="369595136"/>
        <c:axId val="369596672"/>
      </c:barChart>
      <c:catAx>
        <c:axId val="369595136"/>
        <c:scaling>
          <c:orientation val="minMax"/>
        </c:scaling>
        <c:delete val="0"/>
        <c:axPos val="b"/>
        <c:numFmt formatCode="General" sourceLinked="0"/>
        <c:majorTickMark val="none"/>
        <c:minorTickMark val="none"/>
        <c:tickLblPos val="nextTo"/>
        <c:crossAx val="369596672"/>
        <c:crosses val="autoZero"/>
        <c:auto val="1"/>
        <c:lblAlgn val="ctr"/>
        <c:lblOffset val="100"/>
        <c:noMultiLvlLbl val="0"/>
      </c:catAx>
      <c:valAx>
        <c:axId val="369596672"/>
        <c:scaling>
          <c:orientation val="minMax"/>
        </c:scaling>
        <c:delete val="0"/>
        <c:axPos val="l"/>
        <c:majorGridlines/>
        <c:numFmt formatCode="0.00%" sourceLinked="1"/>
        <c:majorTickMark val="none"/>
        <c:minorTickMark val="none"/>
        <c:tickLblPos val="nextTo"/>
        <c:crossAx val="3695951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_rels/themeOverride1.xml.rels><?xml version="1.0" encoding="UTF-8" standalone="yes"?>
<Relationships xmlns="http://schemas.openxmlformats.org/package/2006/relationships"><Relationship Id="rId1" Type="http://schemas.openxmlformats.org/officeDocument/2006/relationships/image" Target="../media/image16.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Override>
</file>

<file path=word/theme/themeOverride2.xml><?xml version="1.0" encoding="utf-8"?>
<a:themeOverride xmlns:a="http://schemas.openxmlformats.org/drawingml/2006/main">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605D-E4B0-44F9-8E56-361D326F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16121</TotalTime>
  <Pages>26</Pages>
  <Words>5483</Words>
  <Characters>31255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CORP-2024-002 2024 DNSSAB Budget</vt:lpstr>
    </vt:vector>
  </TitlesOfParts>
  <Company>The District of Nipissing Social Services Administration Board</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CORP-2024-001 2024 DNSSAB Budget</dc:title>
  <dc:subject>January 31st, 2024 Board Meeting</dc:subject>
  <dc:creator>2024 DNSSAB Budget</dc:creator>
  <cp:lastModifiedBy>Justin Avery</cp:lastModifiedBy>
  <cp:revision>440</cp:revision>
  <dcterms:created xsi:type="dcterms:W3CDTF">2021-11-25T19:46:00Z</dcterms:created>
  <dcterms:modified xsi:type="dcterms:W3CDTF">2024-01-31T19:01:00Z</dcterms:modified>
</cp:coreProperties>
</file>